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document.xml" ContentType="application/vnd.openxmlformats-officedocument.wordprocessingml.document.main+xml"/>
  <Override PartName="/word/drawings/drawing1.xml" ContentType="application/vnd.openxmlformats-officedocument.drawingml.chartshapes+xml"/>
  <Override PartName="/word/drawings/drawing2.xml" ContentType="application/vnd.openxmlformats-officedocument.drawingml.chartshapes+xml"/>
  <Override PartName="/word/drawings/drawing3.xml" ContentType="application/vnd.openxmlformats-officedocument.drawingml.chartshapes+xml"/>
  <Override PartName="/word/drawings/drawing4.xml" ContentType="application/vnd.openxmlformats-officedocument.drawingml.chartshapes+xml"/>
  <Override PartName="/word/drawings/drawing5.xml" ContentType="application/vnd.openxmlformats-officedocument.drawingml.chartshapes+xml"/>
  <Override PartName="/word/drawings/drawing6.xml" ContentType="application/vnd.openxmlformats-officedocument.drawingml.chartshapes+xml"/>
  <Override PartName="/word/drawings/drawing7.xml" ContentType="application/vnd.openxmlformats-officedocument.drawingml.chartshap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hint="default" w:ascii="Times New Roman" w:hAnsi="Times New Roman" w:eastAsia="方正小标宋简体" w:cs="Times New Roman"/>
          <w:b w:val="0"/>
          <w:bCs w:val="0"/>
          <w:sz w:val="72"/>
          <w:szCs w:val="72"/>
        </w:rPr>
      </w:pPr>
      <w:bookmarkStart w:id="0" w:name="_Toc15377425"/>
      <w:bookmarkStart w:id="1" w:name="_Toc15396597"/>
      <w:bookmarkStart w:id="2" w:name="_Toc15378441"/>
      <w:bookmarkStart w:id="3" w:name="_Toc15377193"/>
      <w:bookmarkStart w:id="4" w:name="_Toc15396475"/>
      <w:bookmarkStart w:id="5" w:name="_Toc15306267"/>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0"/>
        <w:rPr>
          <w:rFonts w:hint="default" w:ascii="Times New Roman" w:hAnsi="Times New Roman" w:eastAsia="方正小标宋简体" w:cs="Times New Roman"/>
          <w:b w:val="0"/>
          <w:bCs w:val="0"/>
          <w:sz w:val="72"/>
          <w:szCs w:val="72"/>
        </w:rPr>
      </w:pPr>
      <w:bookmarkStart w:id="6" w:name="_Toc148020030"/>
      <w:bookmarkStart w:id="7" w:name="_Toc30283"/>
      <w:bookmarkStart w:id="8" w:name="_Toc149226730"/>
      <w:bookmarkStart w:id="9" w:name="_Toc149227128"/>
      <w:bookmarkStart w:id="10" w:name="_Toc148707353"/>
      <w:bookmarkStart w:id="11" w:name="_Toc149226995"/>
      <w:bookmarkStart w:id="12" w:name="_Toc148019348"/>
      <w:bookmarkStart w:id="13" w:name="_Toc30621"/>
      <w:bookmarkStart w:id="14" w:name="_Toc148708353"/>
      <w:bookmarkStart w:id="15" w:name="_Toc10985"/>
      <w:r>
        <w:rPr>
          <w:rFonts w:hint="default" w:ascii="Times New Roman" w:hAnsi="Times New Roman" w:eastAsia="方正小标宋简体" w:cs="Times New Roman"/>
          <w:b w:val="0"/>
          <w:bCs w:val="0"/>
          <w:sz w:val="72"/>
          <w:szCs w:val="72"/>
        </w:rPr>
        <w:t>2022年度</w:t>
      </w:r>
      <w:bookmarkEnd w:id="0"/>
      <w:bookmarkEnd w:id="1"/>
      <w:bookmarkEnd w:id="2"/>
      <w:bookmarkEnd w:id="3"/>
      <w:bookmarkEnd w:id="4"/>
      <w:bookmarkEnd w:id="6"/>
      <w:bookmarkEnd w:id="7"/>
      <w:bookmarkEnd w:id="8"/>
      <w:bookmarkEnd w:id="9"/>
      <w:bookmarkEnd w:id="10"/>
      <w:bookmarkEnd w:id="11"/>
      <w:bookmarkEnd w:id="12"/>
      <w:bookmarkEnd w:id="13"/>
      <w:bookmarkEnd w:id="14"/>
      <w:bookmarkEnd w:id="15"/>
    </w:p>
    <w:bookmarkEnd w:id="5"/>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0"/>
        <w:rPr>
          <w:rFonts w:hint="default" w:ascii="Times New Roman" w:hAnsi="Times New Roman" w:eastAsia="方正小标宋简体" w:cs="Times New Roman"/>
          <w:b w:val="0"/>
          <w:bCs w:val="0"/>
          <w:sz w:val="72"/>
          <w:szCs w:val="72"/>
        </w:rPr>
      </w:pPr>
      <w:bookmarkStart w:id="16" w:name="_Toc149227129"/>
      <w:bookmarkStart w:id="17" w:name="_Toc148019349"/>
      <w:bookmarkStart w:id="18" w:name="_Toc148020031"/>
      <w:bookmarkStart w:id="19" w:name="_Toc15377426"/>
      <w:bookmarkStart w:id="20" w:name="_Toc15378442"/>
      <w:bookmarkStart w:id="21" w:name="_Toc148708354"/>
      <w:bookmarkStart w:id="22" w:name="_Toc5642"/>
      <w:bookmarkStart w:id="23" w:name="_Toc15377194"/>
      <w:bookmarkStart w:id="24" w:name="_Toc149226996"/>
      <w:bookmarkStart w:id="25" w:name="_Toc149226731"/>
      <w:bookmarkStart w:id="26" w:name="_Toc15396598"/>
      <w:bookmarkStart w:id="27" w:name="_Toc15396476"/>
      <w:bookmarkStart w:id="28" w:name="_Toc148707354"/>
      <w:bookmarkStart w:id="29" w:name="_Toc22327"/>
      <w:bookmarkStart w:id="30" w:name="_Toc13178"/>
      <w:r>
        <w:rPr>
          <w:rFonts w:hint="default" w:ascii="Times New Roman" w:hAnsi="Times New Roman" w:eastAsia="方正小标宋简体" w:cs="Times New Roman"/>
          <w:b w:val="0"/>
          <w:bCs w:val="0"/>
          <w:sz w:val="72"/>
          <w:szCs w:val="72"/>
        </w:rPr>
        <w:t>泸县</w:t>
      </w:r>
      <w:bookmarkStart w:id="31" w:name="_Toc15306268"/>
      <w:r>
        <w:rPr>
          <w:rFonts w:hint="default" w:ascii="Times New Roman" w:hAnsi="Times New Roman" w:eastAsia="方正小标宋简体" w:cs="Times New Roman"/>
          <w:b w:val="0"/>
          <w:bCs w:val="0"/>
          <w:sz w:val="72"/>
          <w:szCs w:val="72"/>
        </w:rPr>
        <w:t>自然资源和规划局部门决算</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p>
    <w:p>
      <w:pPr>
        <w:keepNext w:val="0"/>
        <w:keepLines w:val="0"/>
        <w:pageBreakBefore w:val="0"/>
        <w:widowControl/>
        <w:kinsoku/>
        <w:wordWrap/>
        <w:overflowPunct/>
        <w:topLinePunct w:val="0"/>
        <w:autoSpaceDE/>
        <w:autoSpaceDN/>
        <w:bidi w:val="0"/>
        <w:adjustRightInd/>
        <w:snapToGrid/>
        <w:spacing w:line="578" w:lineRule="exact"/>
        <w:ind w:left="0" w:leftChars="0"/>
        <w:jc w:val="center"/>
        <w:textAlignment w:val="auto"/>
        <w:rPr>
          <w:rFonts w:hint="default" w:ascii="Times New Roman" w:hAnsi="Times New Roman" w:eastAsia="方正小标宋_GBK" w:cs="Times New Roman"/>
          <w:b w:val="0"/>
          <w:bCs w:val="0"/>
          <w:sz w:val="44"/>
          <w:szCs w:val="44"/>
        </w:rPr>
      </w:pPr>
      <w:r>
        <w:rPr>
          <w:rFonts w:hint="default" w:ascii="Times New Roman" w:hAnsi="Times New Roman" w:eastAsia="方正小标宋简体" w:cs="Times New Roman"/>
          <w:b w:val="0"/>
          <w:bCs w:val="0"/>
          <w:sz w:val="36"/>
          <w:szCs w:val="36"/>
        </w:rPr>
        <w:br w:type="page"/>
      </w:r>
      <w:r>
        <w:rPr>
          <w:rFonts w:hint="default" w:ascii="Times New Roman" w:hAnsi="Times New Roman" w:eastAsia="方正小标宋_GBK" w:cs="Times New Roman"/>
          <w:b w:val="0"/>
          <w:bCs w:val="0"/>
          <w:sz w:val="44"/>
          <w:szCs w:val="44"/>
        </w:rPr>
        <w:t>目录</w:t>
      </w:r>
    </w:p>
    <w:p>
      <w:pPr>
        <w:pStyle w:val="13"/>
        <w:keepNext w:val="0"/>
        <w:keepLines w:val="0"/>
        <w:pageBreakBefore w:val="0"/>
        <w:kinsoku/>
        <w:wordWrap/>
        <w:overflowPunct/>
        <w:topLinePunct w:val="0"/>
        <w:autoSpaceDE/>
        <w:autoSpaceDN/>
        <w:bidi w:val="0"/>
        <w:adjustRightInd/>
        <w:snapToGrid/>
        <w:spacing w:before="0" w:line="578" w:lineRule="exact"/>
        <w:ind w:left="0" w:leftChars="0"/>
        <w:textAlignment w:val="auto"/>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rPr>
        <w:t>公开时间：2023年10月13日</w:t>
      </w:r>
    </w:p>
    <w:sdt>
      <w:sdtPr>
        <w:rPr>
          <w:rFonts w:hint="default" w:ascii="Times New Roman" w:hAnsi="Times New Roman" w:eastAsia="仿宋_GB2312" w:cs="Times New Roman"/>
          <w:b w:val="0"/>
          <w:bCs w:val="0"/>
          <w:sz w:val="32"/>
          <w:szCs w:val="32"/>
          <w:lang w:val="zh-CN"/>
        </w:rPr>
        <w:id w:val="20657138"/>
        <w:docPartObj>
          <w:docPartGallery w:val="Table of Contents"/>
          <w:docPartUnique/>
        </w:docPartObj>
      </w:sdtPr>
      <w:sdtEndPr>
        <w:rPr>
          <w:rFonts w:hint="default" w:ascii="Times New Roman" w:hAnsi="Times New Roman" w:eastAsia="仿宋_GB2312" w:cs="Times New Roman"/>
          <w:b w:val="0"/>
          <w:bCs w:val="0"/>
          <w:sz w:val="32"/>
          <w:szCs w:val="32"/>
          <w:lang w:val="en-US"/>
        </w:rPr>
      </w:sdtEndPr>
      <w:sdtContent>
        <w:p>
          <w:pPr>
            <w:pStyle w:val="13"/>
            <w:keepNext w:val="0"/>
            <w:keepLines w:val="0"/>
            <w:pageBreakBefore w:val="0"/>
            <w:kinsoku/>
            <w:wordWrap/>
            <w:overflowPunct/>
            <w:topLinePunct w:val="0"/>
            <w:autoSpaceDE/>
            <w:autoSpaceDN/>
            <w:bidi w:val="0"/>
            <w:adjustRightInd/>
            <w:snapToGrid/>
            <w:spacing w:before="0" w:line="578" w:lineRule="exact"/>
            <w:ind w:left="0" w:leftChars="0"/>
            <w:textAlignment w:val="auto"/>
            <w:rPr>
              <w:rFonts w:hint="default" w:ascii="Times New Roman" w:hAnsi="Times New Roman" w:eastAsia="仿宋_GB2312" w:cs="Times New Roman"/>
              <w:b w:val="0"/>
              <w:bCs w:val="0"/>
              <w:sz w:val="32"/>
              <w:szCs w:val="32"/>
            </w:rPr>
          </w:pPr>
          <w:bookmarkStart w:id="32" w:name="_Toc15377196"/>
          <w:bookmarkStart w:id="33" w:name="_Toc15396599"/>
          <w:r>
            <w:rPr>
              <w:rFonts w:hint="default" w:ascii="Times New Roman" w:hAnsi="Times New Roman" w:eastAsia="仿宋_GB2312" w:cs="Times New Roman"/>
              <w:b w:val="0"/>
              <w:bCs w:val="0"/>
              <w:color w:val="366091" w:themeColor="accent1" w:themeShade="BF"/>
              <w:kern w:val="0"/>
              <w:sz w:val="32"/>
              <w:szCs w:val="32"/>
            </w:rPr>
            <w:fldChar w:fldCharType="begin"/>
          </w:r>
          <w:r>
            <w:rPr>
              <w:rFonts w:hint="default" w:ascii="Times New Roman" w:hAnsi="Times New Roman" w:eastAsia="仿宋_GB2312" w:cs="Times New Roman"/>
              <w:b w:val="0"/>
              <w:bCs w:val="0"/>
              <w:sz w:val="32"/>
              <w:szCs w:val="32"/>
            </w:rPr>
            <w:instrText xml:space="preserve"> TOC \o "1-3" \h \z \u </w:instrText>
          </w:r>
          <w:r>
            <w:rPr>
              <w:rFonts w:hint="default" w:ascii="Times New Roman" w:hAnsi="Times New Roman" w:eastAsia="仿宋_GB2312" w:cs="Times New Roman"/>
              <w:b w:val="0"/>
              <w:bCs w:val="0"/>
              <w:color w:val="366091" w:themeColor="accent1" w:themeShade="BF"/>
              <w:kern w:val="0"/>
              <w:sz w:val="32"/>
              <w:szCs w:val="32"/>
            </w:rPr>
            <w:fldChar w:fldCharType="separate"/>
          </w:r>
        </w:p>
        <w:p>
          <w:pPr>
            <w:pStyle w:val="13"/>
            <w:keepNext w:val="0"/>
            <w:keepLines w:val="0"/>
            <w:pageBreakBefore w:val="0"/>
            <w:kinsoku/>
            <w:wordWrap/>
            <w:overflowPunct/>
            <w:topLinePunct w:val="0"/>
            <w:autoSpaceDE/>
            <w:autoSpaceDN/>
            <w:bidi w:val="0"/>
            <w:adjustRightInd/>
            <w:snapToGrid/>
            <w:spacing w:before="0" w:line="578" w:lineRule="exact"/>
            <w:ind w:left="0" w:leftChars="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"_Toc149227130"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第一部分 部门概况</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_Toc149227130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"_Toc149227131"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一、部门职责</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_Toc149227131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"_Toc149227132"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二、机构设置</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_Toc149227132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3"/>
            <w:keepNext w:val="0"/>
            <w:keepLines w:val="0"/>
            <w:pageBreakBefore w:val="0"/>
            <w:kinsoku/>
            <w:wordWrap/>
            <w:overflowPunct/>
            <w:topLinePunct w:val="0"/>
            <w:autoSpaceDE/>
            <w:autoSpaceDN/>
            <w:bidi w:val="0"/>
            <w:adjustRightInd/>
            <w:snapToGrid/>
            <w:spacing w:before="0" w:line="578" w:lineRule="exact"/>
            <w:ind w:left="0" w:leftChars="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"_Toc149227133"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第二部分 2022年度部门决算情况说明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_Toc149227133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14</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"_Toc149227134"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一、收入支出决算总体情况说明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_Toc149227134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14</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"_Toc149227135"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二、收入决算情况说明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_Toc149227135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14</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"_Toc149227136"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三、支出决算情况说明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_Toc149227136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15</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"_Toc149227137"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四、财政拨款收入支出决算总体情况说明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_Toc149227137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15</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"_Toc149227138"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五、一般公共预算财政拨款支出决算情况说明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_Toc149227138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16</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9"/>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"_Toc149227139"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（一）一般公共预算财政拨款支出决算总体情况</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_Toc149227139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16</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9"/>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"_Toc149227140"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（二）一般公共预算财政拨款支出决算结构情况</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_Toc149227140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17</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9"/>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"_Toc149227141"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（三）一般公共预算财政拨款支出决算具体情况</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_Toc149227141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17</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"_Toc149227142"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六、一般公共预算财政拨款基本支出决算情况说明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_Toc149227142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19</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"_Toc149227143"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七、财政拨款“三公”经费支出决算情况说明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_Toc149227143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20</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9"/>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"_Toc149227144"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（一）“三公”经费财政拨款支出决算总体情况说明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_Toc149227144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20</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9"/>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"_Toc149227145"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（二）“三公”经费财政拨款支出决算具体情况说明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_Toc149227145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"_Toc149227146"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八、政府性基金预算支出决算情况说明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_Toc149227146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22</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"_Toc149227147"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九、国有资本经营预算支出决算情况说明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_Toc149227147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23</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"_Toc149227148"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十、其他重要事项的情况说明</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_Toc149227148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23</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9"/>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"_Toc149227149"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（一）机关运行经费支出情况</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_Toc149227149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23</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9"/>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"_Toc149227150"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（二）政府采购支出情况</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_Toc149227150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23</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9"/>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"_Toc149227151"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（三）国有资产占有使用情况</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_Toc149227151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24</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9"/>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"_Toc149227152"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（四）预算绩效管理情况</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_Toc149227152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24</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3"/>
            <w:keepNext w:val="0"/>
            <w:keepLines w:val="0"/>
            <w:pageBreakBefore w:val="0"/>
            <w:kinsoku/>
            <w:wordWrap/>
            <w:overflowPunct/>
            <w:topLinePunct w:val="0"/>
            <w:autoSpaceDE/>
            <w:autoSpaceDN/>
            <w:bidi w:val="0"/>
            <w:adjustRightInd/>
            <w:snapToGrid/>
            <w:spacing w:before="0" w:line="578" w:lineRule="exact"/>
            <w:ind w:left="0" w:leftChars="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"_Toc149227153"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第三部分名词解释</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_Toc149227153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25</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3"/>
            <w:keepNext w:val="0"/>
            <w:keepLines w:val="0"/>
            <w:pageBreakBefore w:val="0"/>
            <w:kinsoku/>
            <w:wordWrap/>
            <w:overflowPunct/>
            <w:topLinePunct w:val="0"/>
            <w:autoSpaceDE/>
            <w:autoSpaceDN/>
            <w:bidi w:val="0"/>
            <w:adjustRightInd/>
            <w:snapToGrid/>
            <w:spacing w:before="0" w:line="578" w:lineRule="exact"/>
            <w:ind w:left="0" w:leftChars="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"_Toc149227154"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第四部分 附件</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_Toc149227154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31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"_Toc149227155"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2022年泸县自然资源和规划局部门整体绩效评价报告</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_Toc149227155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31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"_Toc149227156"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泸县国有林场实施项目2022年度绩效自评报告</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_Toc149227156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50</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"_Toc149227157"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2022年省级专项资金预算项目（泸县森林防灾减灾项目）绩效自评报告</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_Toc149227157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56</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"_Toc149227158"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部门预算项目支出绩效自评表（2022年度）</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_Toc149227158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62</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3"/>
            <w:keepNext w:val="0"/>
            <w:keepLines w:val="0"/>
            <w:pageBreakBefore w:val="0"/>
            <w:kinsoku/>
            <w:wordWrap/>
            <w:overflowPunct/>
            <w:topLinePunct w:val="0"/>
            <w:autoSpaceDE/>
            <w:autoSpaceDN/>
            <w:bidi w:val="0"/>
            <w:adjustRightInd/>
            <w:snapToGrid/>
            <w:spacing w:before="0" w:line="578" w:lineRule="exact"/>
            <w:ind w:left="0" w:leftChars="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"_Toc149227159"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第五部分 附表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_Toc149227159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"_Toc149227160"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一、收入支出决算总表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_Toc149227160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"_Toc149227161"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二、收入决算表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_Toc149227161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"_Toc149227162"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三、支出决算表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_Toc149227162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"_Toc149227163"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四、财政拨款收入支出决算总表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_Toc149227163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"_Toc149227164"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五、财政拨款支出决算明细表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_Toc149227164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"_Toc149227165"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六、一般公共预算财政拨款支出决算表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_Toc149227165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"_Toc149227166"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七、一般公共预算财政拨款支出决算明细表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_Toc149227166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"_Toc149227167"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八、一般公共预算财政拨款基本支出决算表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_Toc149227167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"_Toc149227168"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九、一般公共预算财政拨款项目支出决算表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_Toc149227168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"_Toc149227169"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十、政府性基金预算财政拨款收入支出决算表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_Toc149227169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"_Toc149227170"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十一、国有资本经营预算财政拨款收入支出决算表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_Toc149227170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121</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"_Toc149227171"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十二、国有资本经营预算财政拨款支出决算表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_Toc149227171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122</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pStyle w:val="14"/>
            <w:keepNext w:val="0"/>
            <w:keepLines w:val="0"/>
            <w:pageBreakBefore w:val="0"/>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HYPERLINK \l "_Toc149227172" </w:instrText>
          </w:r>
          <w:r>
            <w:rPr>
              <w:rFonts w:hint="default" w:ascii="Times New Roman" w:hAnsi="Times New Roman" w:eastAsia="仿宋_GB2312" w:cs="Times New Roman"/>
              <w:b w:val="0"/>
              <w:bCs w:val="0"/>
              <w:sz w:val="32"/>
              <w:szCs w:val="32"/>
            </w:rPr>
            <w:fldChar w:fldCharType="separate"/>
          </w:r>
          <w:r>
            <w:rPr>
              <w:rStyle w:val="22"/>
              <w:rFonts w:hint="default" w:ascii="Times New Roman" w:hAnsi="Times New Roman" w:eastAsia="仿宋_GB2312" w:cs="Times New Roman"/>
              <w:b w:val="0"/>
              <w:bCs w:val="0"/>
              <w:sz w:val="32"/>
              <w:szCs w:val="32"/>
            </w:rPr>
            <w:t>十三、财政拨款“三公”经费支出决算表</w:t>
          </w:r>
          <w:r>
            <w:rPr>
              <w:rFonts w:hint="default" w:ascii="Times New Roman" w:hAnsi="Times New Roman" w:eastAsia="仿宋_GB2312" w:cs="Times New Roman"/>
              <w:b w:val="0"/>
              <w:bCs w:val="0"/>
              <w:sz w:val="32"/>
              <w:szCs w:val="32"/>
            </w:rPr>
            <w:tab/>
          </w:r>
          <w:r>
            <w:rPr>
              <w:rFonts w:hint="default" w:ascii="Times New Roman" w:hAnsi="Times New Roman" w:eastAsia="仿宋_GB2312" w:cs="Times New Roman"/>
              <w:b w:val="0"/>
              <w:bCs w:val="0"/>
              <w:sz w:val="32"/>
              <w:szCs w:val="32"/>
            </w:rPr>
            <w:fldChar w:fldCharType="begin"/>
          </w:r>
          <w:r>
            <w:rPr>
              <w:rFonts w:hint="default" w:ascii="Times New Roman" w:hAnsi="Times New Roman" w:eastAsia="仿宋_GB2312" w:cs="Times New Roman"/>
              <w:b w:val="0"/>
              <w:bCs w:val="0"/>
              <w:sz w:val="32"/>
              <w:szCs w:val="32"/>
            </w:rPr>
            <w:instrText xml:space="preserve"> PAGEREF _Toc149227172 \h </w:instrText>
          </w:r>
          <w:r>
            <w:rPr>
              <w:rFonts w:hint="default" w:ascii="Times New Roman" w:hAnsi="Times New Roman" w:eastAsia="仿宋_GB2312" w:cs="Times New Roman"/>
              <w:b w:val="0"/>
              <w:bCs w:val="0"/>
              <w:sz w:val="32"/>
              <w:szCs w:val="32"/>
            </w:rPr>
            <w:fldChar w:fldCharType="separate"/>
          </w:r>
          <w:r>
            <w:rPr>
              <w:rFonts w:hint="default" w:ascii="Times New Roman" w:hAnsi="Times New Roman" w:eastAsia="仿宋_GB2312" w:cs="Times New Roman"/>
              <w:b w:val="0"/>
              <w:bCs w:val="0"/>
              <w:sz w:val="32"/>
              <w:szCs w:val="32"/>
            </w:rPr>
            <w:t>122</w:t>
          </w:r>
          <w:r>
            <w:rPr>
              <w:rFonts w:hint="default" w:ascii="Times New Roman" w:hAnsi="Times New Roman" w:eastAsia="仿宋_GB2312" w:cs="Times New Roman"/>
              <w:b w:val="0"/>
              <w:bCs w:val="0"/>
              <w:sz w:val="32"/>
              <w:szCs w:val="32"/>
            </w:rPr>
            <w:fldChar w:fldCharType="end"/>
          </w:r>
          <w:r>
            <w:rPr>
              <w:rFonts w:hint="default" w:ascii="Times New Roman" w:hAnsi="Times New Roman" w:eastAsia="仿宋_GB2312" w:cs="Times New Roman"/>
              <w:b w:val="0"/>
              <w:bCs w:val="0"/>
              <w:sz w:val="32"/>
              <w:szCs w:val="32"/>
            </w:rPr>
            <w:fldChar w:fldCharType="end"/>
          </w:r>
        </w:p>
        <w:p>
          <w:pPr>
            <w:keepNext w:val="0"/>
            <w:keepLines w:val="0"/>
            <w:pageBreakBefore w:val="0"/>
            <w:tabs>
              <w:tab w:val="right" w:leader="dot" w:pos="8296"/>
            </w:tabs>
            <w:kinsoku/>
            <w:wordWrap/>
            <w:overflowPunct/>
            <w:topLinePunct w:val="0"/>
            <w:autoSpaceDE/>
            <w:autoSpaceDN/>
            <w:bidi w:val="0"/>
            <w:adjustRightInd/>
            <w:snapToGrid/>
            <w:spacing w:line="578" w:lineRule="exact"/>
            <w:ind w:left="0" w:leftChars="0"/>
            <w:textAlignment w:val="auto"/>
            <w:rPr>
              <w:rFonts w:hint="default" w:ascii="Times New Roman" w:hAnsi="Times New Roman" w:eastAsia="仿宋_GB2312" w:cs="Times New Roman"/>
              <w:b w:val="0"/>
              <w:bCs w:val="0"/>
              <w:sz w:val="32"/>
              <w:szCs w:val="32"/>
            </w:rPr>
            <w:sectPr>
              <w:footerReference r:id="rId5" w:type="first"/>
              <w:headerReference r:id="rId3" w:type="default"/>
              <w:footerReference r:id="rId4" w:type="default"/>
              <w:pgSz w:w="11906" w:h="16838"/>
              <w:pgMar w:top="2098" w:right="1474" w:bottom="1984" w:left="1587" w:header="851" w:footer="992" w:gutter="0"/>
              <w:pgNumType w:start="1"/>
              <w:cols w:space="425" w:num="1"/>
              <w:titlePg/>
              <w:docGrid w:type="lines" w:linePitch="312" w:charSpace="0"/>
            </w:sectPr>
          </w:pPr>
          <w:r>
            <w:rPr>
              <w:rFonts w:hint="default" w:ascii="Times New Roman" w:hAnsi="Times New Roman" w:eastAsia="仿宋_GB2312" w:cs="Times New Roman"/>
              <w:b w:val="0"/>
              <w:bCs w:val="0"/>
              <w:sz w:val="32"/>
              <w:szCs w:val="32"/>
            </w:rPr>
            <w:fldChar w:fldCharType="end"/>
          </w:r>
          <w:bookmarkStart w:id="138" w:name="_GoBack"/>
          <w:bookmarkEnd w:id="138"/>
        </w:p>
      </w:sdtContent>
    </w:sdt>
    <w:p>
      <w:pPr>
        <w:pStyle w:val="3"/>
        <w:pageBreakBefore w:val="0"/>
        <w:kinsoku/>
        <w:wordWrap/>
        <w:overflowPunct/>
        <w:topLinePunct w:val="0"/>
        <w:autoSpaceDE/>
        <w:autoSpaceDN/>
        <w:bidi w:val="0"/>
        <w:spacing w:before="0" w:after="0" w:line="578" w:lineRule="exact"/>
        <w:ind w:left="0" w:leftChars="0"/>
        <w:jc w:val="center"/>
        <w:rPr>
          <w:rStyle w:val="36"/>
          <w:rFonts w:hint="default" w:ascii="Times New Roman" w:hAnsi="Times New Roman" w:eastAsia="方正小标宋_GBK" w:cs="Times New Roman"/>
          <w:b w:val="0"/>
          <w:bCs w:val="0"/>
          <w:sz w:val="44"/>
          <w:szCs w:val="44"/>
        </w:rPr>
      </w:pPr>
      <w:bookmarkStart w:id="34" w:name="_Toc149227130"/>
      <w:r>
        <w:rPr>
          <w:rFonts w:hint="default" w:ascii="Times New Roman" w:hAnsi="Times New Roman" w:eastAsia="方正小标宋_GBK" w:cs="Times New Roman"/>
          <w:b w:val="0"/>
          <w:bCs w:val="0"/>
          <w:sz w:val="44"/>
          <w:szCs w:val="44"/>
        </w:rPr>
        <w:t xml:space="preserve">第一部分 </w:t>
      </w:r>
      <w:r>
        <w:rPr>
          <w:rStyle w:val="36"/>
          <w:rFonts w:hint="default" w:ascii="Times New Roman" w:hAnsi="Times New Roman" w:eastAsia="方正小标宋_GBK" w:cs="Times New Roman"/>
          <w:b w:val="0"/>
          <w:bCs w:val="0"/>
          <w:sz w:val="44"/>
          <w:szCs w:val="44"/>
        </w:rPr>
        <w:t>部门概况</w:t>
      </w:r>
      <w:bookmarkEnd w:id="32"/>
      <w:bookmarkEnd w:id="33"/>
      <w:bookmarkEnd w:id="34"/>
    </w:p>
    <w:p>
      <w:pPr>
        <w:pStyle w:val="4"/>
        <w:pageBreakBefore w:val="0"/>
        <w:kinsoku/>
        <w:wordWrap/>
        <w:overflowPunct/>
        <w:topLinePunct w:val="0"/>
        <w:autoSpaceDE/>
        <w:autoSpaceDN/>
        <w:bidi w:val="0"/>
        <w:spacing w:before="0" w:after="0" w:line="578" w:lineRule="exact"/>
        <w:ind w:left="0" w:leftChars="0" w:firstLine="640" w:firstLineChars="200"/>
        <w:rPr>
          <w:rFonts w:hint="default" w:ascii="Times New Roman" w:hAnsi="Times New Roman" w:eastAsia="仿宋_GB2312" w:cs="Times New Roman"/>
          <w:b w:val="0"/>
          <w:bCs w:val="0"/>
          <w:sz w:val="32"/>
          <w:szCs w:val="32"/>
        </w:rPr>
      </w:pPr>
      <w:bookmarkStart w:id="35" w:name="_Toc15396600"/>
      <w:bookmarkStart w:id="36" w:name="_Toc15377197"/>
      <w:bookmarkStart w:id="37" w:name="_Toc149227131"/>
    </w:p>
    <w:p>
      <w:pPr>
        <w:pStyle w:val="4"/>
        <w:pageBreakBefore w:val="0"/>
        <w:kinsoku/>
        <w:wordWrap/>
        <w:overflowPunct/>
        <w:topLinePunct w:val="0"/>
        <w:autoSpaceDE/>
        <w:autoSpaceDN/>
        <w:bidi w:val="0"/>
        <w:spacing w:before="0" w:after="0" w:line="578" w:lineRule="exact"/>
        <w:ind w:left="0" w:leftChars="0"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一、</w:t>
      </w:r>
      <w:bookmarkEnd w:id="35"/>
      <w:bookmarkEnd w:id="36"/>
      <w:r>
        <w:rPr>
          <w:rFonts w:hint="default" w:ascii="Times New Roman" w:hAnsi="Times New Roman" w:eastAsia="仿宋_GB2312" w:cs="Times New Roman"/>
          <w:b w:val="0"/>
          <w:bCs w:val="0"/>
          <w:sz w:val="32"/>
          <w:szCs w:val="32"/>
        </w:rPr>
        <w:t>部门职责</w:t>
      </w:r>
      <w:bookmarkEnd w:id="37"/>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333333"/>
          <w:sz w:val="32"/>
          <w:szCs w:val="32"/>
          <w:shd w:val="clear" w:color="auto" w:fill="FFFFFF"/>
        </w:rPr>
      </w:pPr>
      <w:r>
        <w:rPr>
          <w:rFonts w:hint="default" w:ascii="Times New Roman" w:hAnsi="Times New Roman" w:eastAsia="仿宋_GB2312" w:cs="Times New Roman"/>
          <w:b w:val="0"/>
          <w:bCs w:val="0"/>
          <w:color w:val="333333"/>
          <w:sz w:val="32"/>
          <w:szCs w:val="32"/>
          <w:shd w:val="clear" w:color="auto" w:fill="FFFFFF"/>
          <w:lang w:eastAsia="zh-CN"/>
        </w:rPr>
        <w:t>（一）</w:t>
      </w:r>
      <w:r>
        <w:rPr>
          <w:rFonts w:hint="default" w:ascii="Times New Roman" w:hAnsi="Times New Roman" w:eastAsia="仿宋_GB2312" w:cs="Times New Roman"/>
          <w:b w:val="0"/>
          <w:bCs w:val="0"/>
          <w:color w:val="333333"/>
          <w:sz w:val="32"/>
          <w:szCs w:val="32"/>
          <w:shd w:val="clear" w:color="auto" w:fill="FFFFFF"/>
        </w:rPr>
        <w:t>主要职能</w:t>
      </w:r>
    </w:p>
    <w:p>
      <w:pPr>
        <w:pageBreakBefore w:val="0"/>
        <w:shd w:val="clear" w:color="auto" w:fill="FFFFFF"/>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333333"/>
          <w:sz w:val="32"/>
          <w:szCs w:val="32"/>
          <w:shd w:val="clear" w:color="auto" w:fill="FFFFFF"/>
          <w:lang w:val="en-US" w:eastAsia="zh-CN"/>
        </w:rPr>
        <w:t xml:space="preserve">1. </w:t>
      </w:r>
      <w:r>
        <w:rPr>
          <w:rFonts w:hint="default" w:ascii="Times New Roman" w:hAnsi="Times New Roman" w:eastAsia="仿宋_GB2312" w:cs="Times New Roman"/>
          <w:b w:val="0"/>
          <w:bCs w:val="0"/>
          <w:color w:val="333333"/>
          <w:sz w:val="32"/>
          <w:szCs w:val="32"/>
          <w:shd w:val="clear" w:color="auto" w:fill="FFFFFF"/>
        </w:rPr>
        <w:t>按规定权限，履行全民所有土地、矿产、森林、湿地、水等自然资源资产所有者职责和所有国土空间用途管制职责。履行国土空间规划管理和监督检查职责。拟订自然资源和国土空间规</w:t>
      </w:r>
      <w:r>
        <w:rPr>
          <w:rFonts w:hint="default" w:ascii="Times New Roman" w:hAnsi="Times New Roman" w:eastAsia="仿宋_GB2312" w:cs="Times New Roman"/>
          <w:b w:val="0"/>
          <w:bCs w:val="0"/>
          <w:color w:val="000000"/>
          <w:kern w:val="0"/>
          <w:sz w:val="32"/>
          <w:szCs w:val="32"/>
          <w:shd w:val="clear" w:color="auto" w:fill="FFFFFF"/>
        </w:rPr>
        <w:t>划有关政策措施并监督检查执行情况。</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2. </w:t>
      </w:r>
      <w:r>
        <w:rPr>
          <w:rFonts w:hint="default" w:ascii="Times New Roman" w:hAnsi="Times New Roman" w:eastAsia="仿宋_GB2312" w:cs="Times New Roman"/>
          <w:b w:val="0"/>
          <w:bCs w:val="0"/>
          <w:color w:val="000000"/>
          <w:kern w:val="0"/>
          <w:sz w:val="32"/>
          <w:szCs w:val="32"/>
          <w:shd w:val="clear" w:color="auto" w:fill="FFFFFF"/>
        </w:rPr>
        <w:t>负责全县自然资源调查监测评价。依照自然资源调查监测评价的指标体系和统计标准，贯彻执行上级统一规范的自然资源调查监测评价制度。实施自然资源基础调查、专项调查和监测。负责自然资源调查监测评价成果的监督管理和信息发布。</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3. </w:t>
      </w:r>
      <w:r>
        <w:rPr>
          <w:rFonts w:hint="default" w:ascii="Times New Roman" w:hAnsi="Times New Roman" w:eastAsia="仿宋_GB2312" w:cs="Times New Roman"/>
          <w:b w:val="0"/>
          <w:bCs w:val="0"/>
          <w:color w:val="000000"/>
          <w:kern w:val="0"/>
          <w:sz w:val="32"/>
          <w:szCs w:val="32"/>
          <w:shd w:val="clear" w:color="auto" w:fill="FFFFFF"/>
        </w:rPr>
        <w:t>负责全县自然资源统一确权登记工作。贯彻落实并组织实施各类自然资源和不动产统一确权登记、权籍调查、不动产测绘、争议调处、成果应用的制度、标准、规范。建立健全全县自然资源和不动产登记信息管理基础平台。负责自然资源和不动产登记资料收集、整理、共享、汇交管理等。指导监督自然资源和不动产确权登记工作。</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4. </w:t>
      </w:r>
      <w:r>
        <w:rPr>
          <w:rFonts w:hint="default" w:ascii="Times New Roman" w:hAnsi="Times New Roman" w:eastAsia="仿宋_GB2312" w:cs="Times New Roman"/>
          <w:b w:val="0"/>
          <w:bCs w:val="0"/>
          <w:color w:val="000000"/>
          <w:kern w:val="0"/>
          <w:sz w:val="32"/>
          <w:szCs w:val="32"/>
          <w:shd w:val="clear" w:color="auto" w:fill="FFFFFF"/>
        </w:rPr>
        <w:t>负责全县自然资源资产有偿使用工作。贯彻执行全民所有自然资源资产统计制度，负责全民所有自然资源资产核算。编制全民所有自然资源资产负债表，依照有关标准组织考核。按照规定权限，制定全民所有自然资源资产划拨、出让、租赁、作价出资和土地储备政策，合理配置全民所有自然资源资产。负责自然资源资产价值评估管理，依法收缴相关资产收益。</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5. </w:t>
      </w:r>
      <w:r>
        <w:rPr>
          <w:rFonts w:hint="default" w:ascii="Times New Roman" w:hAnsi="Times New Roman" w:eastAsia="仿宋_GB2312" w:cs="Times New Roman"/>
          <w:b w:val="0"/>
          <w:bCs w:val="0"/>
          <w:color w:val="000000"/>
          <w:kern w:val="0"/>
          <w:sz w:val="32"/>
          <w:szCs w:val="32"/>
          <w:shd w:val="clear" w:color="auto" w:fill="FFFFFF"/>
        </w:rPr>
        <w:t>负责全县自然资源的合理开发利用。贯彻执行自然资源发展规划和战略，贯彻落实自然资源开发利用地方标准，建立政府公示自然资源价格体系，组织开展自然资源分等定级价格评估，开展自然资源利用评价考核，指导节约集约利用。负责自然资源市场监管。组织研究自然资源管理涉及宏观调控、区域协调和城乡统筹的政策措施。</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6. </w:t>
      </w:r>
      <w:r>
        <w:rPr>
          <w:rFonts w:hint="default" w:ascii="Times New Roman" w:hAnsi="Times New Roman" w:eastAsia="仿宋_GB2312" w:cs="Times New Roman"/>
          <w:b w:val="0"/>
          <w:bCs w:val="0"/>
          <w:color w:val="000000"/>
          <w:kern w:val="0"/>
          <w:sz w:val="32"/>
          <w:szCs w:val="32"/>
          <w:shd w:val="clear" w:color="auto" w:fill="FFFFFF"/>
        </w:rPr>
        <w:t>负责建立全县空间规划体系并监督实施。推进落实主体功能区战略和制度，组织编制并监督实施国土空间规划和相关专项规划，分区规划、控制性详细规划，统筹衔接其他种类专项规划。开展国土空间开发适宜性评价，建立国土空间规划实施监测、评估和预警体系。组织划定生态保护红线、永久基本农田、城镇开发边界等控制线，构建节约资源和保护环境的生产、生活、生态空间布局。建立健全国土空间用途管制制度，研究拟订城乡规划政策并监督实施。组织拟订并实施土地等自然资源年度利用计划。负责土地等国土空间用途转用工作。</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7. </w:t>
      </w:r>
      <w:r>
        <w:rPr>
          <w:rFonts w:hint="default" w:ascii="Times New Roman" w:hAnsi="Times New Roman" w:eastAsia="仿宋_GB2312" w:cs="Times New Roman"/>
          <w:b w:val="0"/>
          <w:bCs w:val="0"/>
          <w:color w:val="000000"/>
          <w:kern w:val="0"/>
          <w:sz w:val="32"/>
          <w:szCs w:val="32"/>
          <w:shd w:val="clear" w:color="auto" w:fill="FFFFFF"/>
        </w:rPr>
        <w:t>负责规划区内建筑物、构筑物、园林绿化、道路、管线等工程和临时建设的规划管理；负责城乡规划编制单位的资质管理；负责历史文化名城、历史风貌保护区、历史文化名镇、优秀历史建筑和全县历史文物古迹的规划管理;依法实行建设项目选址意见书、建设用地规划许可证、建设工程规划许可证、乡村建设规划许可证管理制度；对建设项目审批后到竣工验收前规划执行情况实行跟踪监督。</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8. </w:t>
      </w:r>
      <w:r>
        <w:rPr>
          <w:rFonts w:hint="default" w:ascii="Times New Roman" w:hAnsi="Times New Roman" w:eastAsia="仿宋_GB2312" w:cs="Times New Roman"/>
          <w:b w:val="0"/>
          <w:bCs w:val="0"/>
          <w:color w:val="000000"/>
          <w:kern w:val="0"/>
          <w:sz w:val="32"/>
          <w:szCs w:val="32"/>
          <w:shd w:val="clear" w:color="auto" w:fill="FFFFFF"/>
        </w:rPr>
        <w:t>负责统筹全县国土空间和林业生态修复。牵头组织编制全县国土空间生态修复规划并实施有关生态修复重大工程。负责开展国土空间综合整治、土地整理复垦、矿山地质环境恢复治理等工作。牵头建立和实施生态保护补偿制度，制定合理利用社会资金进行生态修复的政策措施，提出重大备选项目。组织实施林业生态补偿。牵头负责生态扶贫工作。</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9. </w:t>
      </w:r>
      <w:r>
        <w:rPr>
          <w:rFonts w:hint="default" w:ascii="Times New Roman" w:hAnsi="Times New Roman" w:eastAsia="仿宋_GB2312" w:cs="Times New Roman"/>
          <w:b w:val="0"/>
          <w:bCs w:val="0"/>
          <w:color w:val="000000"/>
          <w:kern w:val="0"/>
          <w:sz w:val="32"/>
          <w:szCs w:val="32"/>
          <w:shd w:val="clear" w:color="auto" w:fill="FFFFFF"/>
        </w:rPr>
        <w:t>负责组织实施最严格的耕地保护制度。牵头拟订并实施全县耕地保护政策，负责耕地数量、质量、生态保护。组织实施耕地保护责任目标考核和永久基本农田特殊保护。完善耕地占补平衡制度，监督占用耕地补偿制度执行情况。负责土地征收征用管理。</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10 </w:t>
      </w:r>
      <w:r>
        <w:rPr>
          <w:rFonts w:hint="default" w:ascii="Times New Roman" w:hAnsi="Times New Roman" w:eastAsia="仿宋_GB2312" w:cs="Times New Roman"/>
          <w:b w:val="0"/>
          <w:bCs w:val="0"/>
          <w:color w:val="000000"/>
          <w:kern w:val="0"/>
          <w:sz w:val="32"/>
          <w:szCs w:val="32"/>
          <w:shd w:val="clear" w:color="auto" w:fill="FFFFFF"/>
        </w:rPr>
        <w:t>负责管理全县地质勘查行业和地质工作。拟订全县地质勘查规划并监督检查执行情况。管理县级地质勘查项目。组织实施重大地质矿产勘查专项。负责地质灾害预防和治理，监督管理地下水过量开采及引发的地面沉降等地质问题。负责古生物化石的监督管理。</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11.</w:t>
      </w:r>
      <w:r>
        <w:rPr>
          <w:rFonts w:hint="default" w:ascii="Times New Roman" w:hAnsi="Times New Roman" w:eastAsia="仿宋_GB2312" w:cs="Times New Roman"/>
          <w:b w:val="0"/>
          <w:bCs w:val="0"/>
          <w:color w:val="000000"/>
          <w:kern w:val="0"/>
          <w:sz w:val="32"/>
          <w:szCs w:val="32"/>
          <w:shd w:val="clear" w:color="auto" w:fill="FFFFFF"/>
        </w:rPr>
        <w:t>负责落实综合防灾减灾规划相关要求，组织编制并实施地质灾害防治规划和防护标准。组织、指导、协调和监督地质灾害调查评价及隐患的普查、详查、排查。组织、指导开展群测群防、专业监测和预报预警等工作，组织、指导开展地质灾害工程治理工作。承担地质灾害应急救援的技术保障工作。</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12.</w:t>
      </w:r>
      <w:r>
        <w:rPr>
          <w:rFonts w:hint="default" w:ascii="Times New Roman" w:hAnsi="Times New Roman" w:eastAsia="仿宋_GB2312" w:cs="Times New Roman"/>
          <w:b w:val="0"/>
          <w:bCs w:val="0"/>
          <w:color w:val="000000"/>
          <w:kern w:val="0"/>
          <w:sz w:val="32"/>
          <w:szCs w:val="32"/>
          <w:shd w:val="clear" w:color="auto" w:fill="FFFFFF"/>
        </w:rPr>
        <w:t>负责全县矿产资源管理工作。负责矿产资源储量管理，配合做好压覆矿产资源审批。负责矿业权管理。会同有关部门承担保护性开采的特定矿种、优势矿产的调控及相关管理工作。监督指导矿产资源合理利用和保护。</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13.</w:t>
      </w:r>
      <w:r>
        <w:rPr>
          <w:rFonts w:hint="default" w:ascii="Times New Roman" w:hAnsi="Times New Roman" w:eastAsia="仿宋_GB2312" w:cs="Times New Roman"/>
          <w:b w:val="0"/>
          <w:bCs w:val="0"/>
          <w:color w:val="000000"/>
          <w:kern w:val="0"/>
          <w:sz w:val="32"/>
          <w:szCs w:val="32"/>
          <w:shd w:val="clear" w:color="auto" w:fill="FFFFFF"/>
        </w:rPr>
        <w:t>推动全县自然资源和规划领域科技发展和对外合作。制定并实施自然资源和规划、林业领域科技创新发展和人才培养规划、计划。贯彻落实上级标准、规程规范并监督实施。组织实施重大科技专项及创新能力建设，推进自然资源和规划信息化和信息资料的公共服务。指导全县林业科技、教育工作。推进林业数字化建设。组织开展林业区域协作事务。组织开展全县自然资源和规划、林业系统对外交流合作。</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14.</w:t>
      </w:r>
      <w:r>
        <w:rPr>
          <w:rFonts w:hint="default" w:ascii="Times New Roman" w:hAnsi="Times New Roman" w:eastAsia="仿宋_GB2312" w:cs="Times New Roman"/>
          <w:b w:val="0"/>
          <w:bCs w:val="0"/>
          <w:color w:val="000000"/>
          <w:kern w:val="0"/>
          <w:sz w:val="32"/>
          <w:szCs w:val="32"/>
          <w:shd w:val="clear" w:color="auto" w:fill="FFFFFF"/>
        </w:rPr>
        <w:t>配合国家对镇（街道）政府（办事处）落实党中央、国务院、省委省政府和市委市政府关于自然资源和国土空间规划的重大方针政策、决策部署及法律法规执行情况进行督察。按照县委、县政府安排，组织实施自然资源和规划督察相关工作。查处全县自然资源开发利用等领域违法案件。指导自然资源领域有关行政执法工作。</w:t>
      </w:r>
    </w:p>
    <w:p>
      <w:pPr>
        <w:pageBreakBefore w:val="0"/>
        <w:shd w:val="clear" w:color="auto" w:fill="FFFFFF"/>
        <w:kinsoku/>
        <w:wordWrap/>
        <w:overflowPunct/>
        <w:topLinePunct w:val="0"/>
        <w:autoSpaceDE/>
        <w:autoSpaceDN/>
        <w:bidi w:val="0"/>
        <w:adjustRightInd w:val="0"/>
        <w:snapToGrid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lang w:val="en-US" w:eastAsia="zh-CN"/>
        </w:rPr>
        <w:t>15.</w:t>
      </w:r>
      <w:r>
        <w:rPr>
          <w:rFonts w:hint="default" w:ascii="Times New Roman" w:hAnsi="Times New Roman" w:eastAsia="仿宋_GB2312" w:cs="Times New Roman"/>
          <w:b w:val="0"/>
          <w:bCs w:val="0"/>
          <w:color w:val="000000"/>
          <w:kern w:val="0"/>
          <w:sz w:val="32"/>
          <w:szCs w:val="32"/>
          <w:shd w:val="clear" w:color="auto" w:fill="FFFFFF"/>
        </w:rPr>
        <w:t xml:space="preserve">负责全县林业建设管理工作。拟订全县林业发展政策、规划、改革方案，并指导实施。 </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16.</w:t>
      </w:r>
      <w:r>
        <w:rPr>
          <w:rFonts w:hint="default" w:ascii="Times New Roman" w:hAnsi="Times New Roman" w:eastAsia="仿宋_GB2312" w:cs="Times New Roman"/>
          <w:b w:val="0"/>
          <w:bCs w:val="0"/>
          <w:color w:val="000000"/>
          <w:kern w:val="0"/>
          <w:sz w:val="32"/>
          <w:szCs w:val="32"/>
          <w:shd w:val="clear" w:color="auto" w:fill="FFFFFF"/>
        </w:rPr>
        <w:t>组织全县林业生态保护修复工作。组织实施退耕还林、天然林保护等重点生态保护修复工程。指导公益林和商品林的培育。指导监督全民义务植树、城乡绿化。指导以植树造林等生物措施防治水土流失、防治荒漠化、防沙治沙工作。指导林业有害生物防治检疫和国有林场、基层林业站的建设管理。</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17.</w:t>
      </w:r>
      <w:r>
        <w:rPr>
          <w:rFonts w:hint="default" w:ascii="Times New Roman" w:hAnsi="Times New Roman" w:eastAsia="仿宋_GB2312" w:cs="Times New Roman"/>
          <w:b w:val="0"/>
          <w:bCs w:val="0"/>
          <w:color w:val="000000"/>
          <w:kern w:val="0"/>
          <w:sz w:val="32"/>
          <w:szCs w:val="32"/>
          <w:shd w:val="clear" w:color="auto" w:fill="FFFFFF"/>
        </w:rPr>
        <w:t>负责全县林业行业行政审批和行政执法监督工作。负责行政诉讼、行政复议工作。监督管理行政执法、行政处罚工作。指导林业重大违法案件的查处。指导全面依法治林工作和林区社会治安综合治理。</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18.</w:t>
      </w:r>
      <w:r>
        <w:rPr>
          <w:rFonts w:hint="default" w:ascii="Times New Roman" w:hAnsi="Times New Roman" w:eastAsia="仿宋_GB2312" w:cs="Times New Roman"/>
          <w:b w:val="0"/>
          <w:bCs w:val="0"/>
          <w:color w:val="000000"/>
          <w:kern w:val="0"/>
          <w:sz w:val="32"/>
          <w:szCs w:val="32"/>
          <w:shd w:val="clear" w:color="auto" w:fill="FFFFFF"/>
        </w:rPr>
        <w:t>负责全县森林、湿地资源的监督管理工作。组织开展森林、湿地和陆生野生动植物资源动态监测与评价。监督管理全县森林采伐限额计划执行和林木的凭证采伐、运输、经营加工。拟订林地保护利用规划并监督管理。组织实施公益林划定和管理。负责湿地生态保护修复，监督管理湿地的开发利用。</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    19.</w:t>
      </w:r>
      <w:r>
        <w:rPr>
          <w:rFonts w:hint="default" w:ascii="Times New Roman" w:hAnsi="Times New Roman" w:eastAsia="仿宋_GB2312" w:cs="Times New Roman"/>
          <w:b w:val="0"/>
          <w:bCs w:val="0"/>
          <w:color w:val="000000"/>
          <w:kern w:val="0"/>
          <w:sz w:val="32"/>
          <w:szCs w:val="32"/>
          <w:shd w:val="clear" w:color="auto" w:fill="FFFFFF"/>
        </w:rPr>
        <w:t>指导监督管理全县自然保护区、风景名胜区、自然遗产、地质公园等各类自然保护地工作等各类自然保护地工作。组织编制各类自然保护地规划并指导实施和监督管理。提出新建、调整各类自然保护地的审核建议并按程序报批。负责生物多样性保护工作。</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    20.</w:t>
      </w:r>
      <w:r>
        <w:rPr>
          <w:rFonts w:hint="default" w:ascii="Times New Roman" w:hAnsi="Times New Roman" w:eastAsia="仿宋_GB2312" w:cs="Times New Roman"/>
          <w:b w:val="0"/>
          <w:bCs w:val="0"/>
          <w:color w:val="000000"/>
          <w:kern w:val="0"/>
          <w:sz w:val="32"/>
          <w:szCs w:val="32"/>
          <w:shd w:val="clear" w:color="auto" w:fill="FFFFFF"/>
        </w:rPr>
        <w:t>指导全县林业高质量发展工作。拟订林业产业发展规划、年度实施方案。指导现代林业园区建设、特色经济林、林下经济、花卉、森林康养和生态旅游等产业，推进绿色产业发展。组织指导林竹产品质量监督。</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    21.</w:t>
      </w:r>
      <w:r>
        <w:rPr>
          <w:rFonts w:hint="default" w:ascii="Times New Roman" w:hAnsi="Times New Roman" w:eastAsia="仿宋_GB2312" w:cs="Times New Roman"/>
          <w:b w:val="0"/>
          <w:bCs w:val="0"/>
          <w:color w:val="000000"/>
          <w:kern w:val="0"/>
          <w:sz w:val="32"/>
          <w:szCs w:val="32"/>
          <w:shd w:val="clear" w:color="auto" w:fill="FFFFFF"/>
        </w:rPr>
        <w:t>指导全县林业种子管理工作。组织开展林木种子种质资源普查，组织建立种质资源库，负责良种选育推广，管理林木种苗生产经营行为，监管林木种子质量。监督管理林业生物种质资源、转基因生物安全、植物新品种保护。</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rPr>
        <w:t xml:space="preserve">   </w:t>
      </w: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 22.</w:t>
      </w:r>
      <w:r>
        <w:rPr>
          <w:rFonts w:hint="default" w:ascii="Times New Roman" w:hAnsi="Times New Roman" w:eastAsia="仿宋_GB2312" w:cs="Times New Roman"/>
          <w:b w:val="0"/>
          <w:bCs w:val="0"/>
          <w:color w:val="000000"/>
          <w:kern w:val="0"/>
          <w:sz w:val="32"/>
          <w:szCs w:val="32"/>
          <w:shd w:val="clear" w:color="auto" w:fill="FFFFFF"/>
        </w:rPr>
        <w:t>负责全县陆生野生动植物资源监督管理工作。组织开展陆生野生动植物资源调查，指导陆生野生动植物的救护繁育、栖息地恢复发展、疫源疫病监测，监督管理陆生野生动植物猎捕或采集、驯养繁殖或培植、经营利用。</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rPr>
        <w:t xml:space="preserve">   </w:t>
      </w: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 23.</w:t>
      </w:r>
      <w:r>
        <w:rPr>
          <w:rFonts w:hint="default" w:ascii="Times New Roman" w:hAnsi="Times New Roman" w:eastAsia="仿宋_GB2312" w:cs="Times New Roman"/>
          <w:b w:val="0"/>
          <w:bCs w:val="0"/>
          <w:color w:val="000000"/>
          <w:kern w:val="0"/>
          <w:sz w:val="32"/>
          <w:szCs w:val="32"/>
          <w:shd w:val="clear" w:color="auto" w:fill="FFFFFF"/>
        </w:rPr>
        <w:t>负责推进全县林业改革工作。指导林业行业重大改革并监督实施。拟订农村林业发展、维护林业经营者合法权益的政策措施。指导农村林地承包、流转经营改革工作。</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rPr>
        <w:t xml:space="preserve">   </w:t>
      </w: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 24.</w:t>
      </w:r>
      <w:r>
        <w:rPr>
          <w:rFonts w:hint="default" w:ascii="Times New Roman" w:hAnsi="Times New Roman" w:eastAsia="仿宋_GB2312" w:cs="Times New Roman"/>
          <w:b w:val="0"/>
          <w:bCs w:val="0"/>
          <w:color w:val="000000"/>
          <w:kern w:val="0"/>
          <w:sz w:val="32"/>
          <w:szCs w:val="32"/>
          <w:shd w:val="clear" w:color="auto" w:fill="FFFFFF"/>
        </w:rPr>
        <w:t>指导全县林业资金和国有资产的监督管理。提出行业预算内投资、全县财政性资金安排建议，按县政府规定权限，核报、核准规划内和年度计划内投资项目。</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rPr>
        <w:t xml:space="preserve">   </w:t>
      </w: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 25.</w:t>
      </w:r>
      <w:r>
        <w:rPr>
          <w:rFonts w:hint="default" w:ascii="Times New Roman" w:hAnsi="Times New Roman" w:eastAsia="仿宋_GB2312" w:cs="Times New Roman"/>
          <w:b w:val="0"/>
          <w:bCs w:val="0"/>
          <w:color w:val="000000"/>
          <w:kern w:val="0"/>
          <w:sz w:val="32"/>
          <w:szCs w:val="32"/>
          <w:shd w:val="clear" w:color="auto" w:fill="FFFFFF"/>
        </w:rPr>
        <w:t>指导全县林业行业安全管理工作。组织编制并实施森林火灾防治规划；组织指导开展防火巡护、火源管理、防火设施建设等工作。负责森林火情监测预警、火灾预防工作，发送森林火险信息。组织指导国有林场林区森林防火宣传教育、监测预警、督促检查等防火工作，维护林区安全。</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rPr>
        <w:t xml:space="preserve">   </w:t>
      </w: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 26.</w:t>
      </w:r>
      <w:r>
        <w:rPr>
          <w:rFonts w:hint="default" w:ascii="Times New Roman" w:hAnsi="Times New Roman" w:eastAsia="仿宋_GB2312" w:cs="Times New Roman"/>
          <w:b w:val="0"/>
          <w:bCs w:val="0"/>
          <w:color w:val="000000"/>
          <w:kern w:val="0"/>
          <w:sz w:val="32"/>
          <w:szCs w:val="32"/>
          <w:shd w:val="clear" w:color="auto" w:fill="FFFFFF"/>
        </w:rPr>
        <w:t>负责职责范围内的安全生产和职业健康、生态环境保护、审批服务便民化等工作。</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rPr>
        <w:t xml:space="preserve">  </w:t>
      </w: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 </w:t>
      </w:r>
      <w:r>
        <w:rPr>
          <w:rFonts w:hint="default" w:ascii="Times New Roman" w:hAnsi="Times New Roman" w:eastAsia="仿宋_GB2312" w:cs="Times New Roman"/>
          <w:b w:val="0"/>
          <w:bCs w:val="0"/>
          <w:color w:val="000000"/>
          <w:kern w:val="0"/>
          <w:sz w:val="32"/>
          <w:szCs w:val="32"/>
          <w:shd w:val="clear" w:color="auto" w:fill="FFFFFF"/>
        </w:rPr>
        <w:t xml:space="preserve"> </w:t>
      </w:r>
      <w:r>
        <w:rPr>
          <w:rFonts w:hint="default" w:ascii="Times New Roman" w:hAnsi="Times New Roman" w:eastAsia="仿宋_GB2312" w:cs="Times New Roman"/>
          <w:b w:val="0"/>
          <w:bCs w:val="0"/>
          <w:color w:val="000000"/>
          <w:kern w:val="0"/>
          <w:sz w:val="32"/>
          <w:szCs w:val="32"/>
          <w:shd w:val="clear" w:color="auto" w:fill="FFFFFF"/>
          <w:lang w:val="en-US" w:eastAsia="zh-CN"/>
        </w:rPr>
        <w:t>27.</w:t>
      </w:r>
      <w:r>
        <w:rPr>
          <w:rFonts w:hint="default" w:ascii="Times New Roman" w:hAnsi="Times New Roman" w:eastAsia="仿宋_GB2312" w:cs="Times New Roman"/>
          <w:b w:val="0"/>
          <w:bCs w:val="0"/>
          <w:color w:val="000000"/>
          <w:kern w:val="0"/>
          <w:sz w:val="32"/>
          <w:szCs w:val="32"/>
          <w:shd w:val="clear" w:color="auto" w:fill="FFFFFF"/>
        </w:rPr>
        <w:t>完成县委、县政府交办的其他任务。</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rPr>
        <w:t xml:space="preserve">   </w:t>
      </w:r>
      <w:r>
        <w:rPr>
          <w:rFonts w:hint="default" w:ascii="Times New Roman" w:hAnsi="Times New Roman" w:eastAsia="仿宋_GB2312" w:cs="Times New Roman"/>
          <w:b w:val="0"/>
          <w:bCs w:val="0"/>
          <w:color w:val="000000"/>
          <w:kern w:val="0"/>
          <w:sz w:val="32"/>
          <w:szCs w:val="32"/>
          <w:shd w:val="clear" w:color="auto" w:fill="FFFFFF"/>
          <w:lang w:val="en-US" w:eastAsia="zh-CN"/>
        </w:rPr>
        <w:t xml:space="preserve"> 28.</w:t>
      </w:r>
      <w:r>
        <w:rPr>
          <w:rFonts w:hint="default" w:ascii="Times New Roman" w:hAnsi="Times New Roman" w:eastAsia="仿宋_GB2312" w:cs="Times New Roman"/>
          <w:b w:val="0"/>
          <w:bCs w:val="0"/>
          <w:color w:val="000000"/>
          <w:kern w:val="0"/>
          <w:sz w:val="32"/>
          <w:szCs w:val="32"/>
          <w:shd w:val="clear" w:color="auto" w:fill="FFFFFF"/>
        </w:rPr>
        <w:t>在自然灾害防救方面的职责分工。</w:t>
      </w:r>
    </w:p>
    <w:p>
      <w:pPr>
        <w:pageBreakBefore w:val="0"/>
        <w:kinsoku/>
        <w:wordWrap/>
        <w:overflowPunct/>
        <w:topLinePunct w:val="0"/>
        <w:autoSpaceDE/>
        <w:autoSpaceDN/>
        <w:bidi w:val="0"/>
        <w:spacing w:line="578" w:lineRule="exact"/>
        <w:ind w:left="0" w:leftChars="0"/>
        <w:rPr>
          <w:rFonts w:hint="default" w:ascii="Times New Roman" w:hAnsi="Times New Roman" w:eastAsia="仿宋_GB2312" w:cs="Times New Roman"/>
          <w:b w:val="0"/>
          <w:bCs w:val="0"/>
          <w:color w:val="000000"/>
          <w:kern w:val="0"/>
          <w:sz w:val="32"/>
          <w:szCs w:val="32"/>
          <w:shd w:val="clear" w:color="auto" w:fill="FFFFFF"/>
          <w:lang w:eastAsia="zh-CN"/>
        </w:rPr>
      </w:pPr>
      <w:r>
        <w:rPr>
          <w:rFonts w:hint="default" w:ascii="Times New Roman" w:hAnsi="Times New Roman" w:eastAsia="仿宋_GB2312" w:cs="Times New Roman"/>
          <w:b w:val="0"/>
          <w:bCs w:val="0"/>
          <w:color w:val="000000"/>
          <w:kern w:val="0"/>
          <w:sz w:val="32"/>
          <w:szCs w:val="32"/>
          <w:shd w:val="clear" w:color="auto" w:fill="FFFFFF"/>
        </w:rPr>
        <w:t xml:space="preserve">    县应急局与县自然资源和规划局、县水务局等部门要做到各司其职、无缝对接。县应急局负责统一组织、统一指挥、统一协调自然灾害类突发事件应急救援救灾工作。县自然资源和规划局、县水务局依法依规承担相关行业领域的灾害监测、预警、防治工作及抢险救援的技术保障工作。</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lang w:eastAsia="zh-CN"/>
        </w:rPr>
        <w:t>（二）</w:t>
      </w:r>
      <w:r>
        <w:rPr>
          <w:rFonts w:hint="default" w:ascii="Times New Roman" w:hAnsi="Times New Roman" w:eastAsia="仿宋_GB2312" w:cs="Times New Roman"/>
          <w:b w:val="0"/>
          <w:bCs w:val="0"/>
          <w:color w:val="000000"/>
          <w:kern w:val="0"/>
          <w:sz w:val="32"/>
          <w:szCs w:val="32"/>
          <w:shd w:val="clear" w:color="auto" w:fill="FFFFFF"/>
        </w:rPr>
        <w:t>主要工作</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color w:val="00000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2022年是泸县“9·16”地震灾后恢复重建的攻坚之年，是“东翼”泸县建设破题发展之年，党的二十大和省第十二次党代会召开之年。泸县自然资源和规划局以创新驱动为引领，以全面融入成渝地区双城经济圈建设为主线，以灾后恢复重建、加快“东翼”建设为重点，认真履行“两统一”职责，充分发挥“规划引领、管控约束、要素保障”综合职能作用，持续提升我县自然资源和规划综合管理水平。</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kern w:val="0"/>
          <w:sz w:val="32"/>
          <w:szCs w:val="32"/>
          <w:shd w:val="clear" w:color="auto" w:fill="FFFFFF"/>
          <w:lang w:eastAsia="zh-CN"/>
        </w:rPr>
        <w:t>二、</w:t>
      </w:r>
      <w:r>
        <w:rPr>
          <w:rFonts w:hint="default" w:ascii="Times New Roman" w:hAnsi="Times New Roman" w:eastAsia="仿宋_GB2312" w:cs="Times New Roman"/>
          <w:b w:val="0"/>
          <w:bCs w:val="0"/>
          <w:kern w:val="0"/>
          <w:sz w:val="32"/>
          <w:szCs w:val="32"/>
          <w:shd w:val="clear" w:color="auto" w:fill="FFFFFF"/>
        </w:rPr>
        <w:t>工作推进情况</w:t>
      </w:r>
    </w:p>
    <w:p>
      <w:pPr>
        <w:pageBreakBefore w:val="0"/>
        <w:kinsoku/>
        <w:wordWrap/>
        <w:overflowPunct/>
        <w:topLinePunct w:val="0"/>
        <w:autoSpaceDE/>
        <w:autoSpaceDN/>
        <w:bidi w:val="0"/>
        <w:spacing w:line="578" w:lineRule="exact"/>
        <w:ind w:left="0" w:leftChars="0" w:firstLine="640" w:firstLineChars="200"/>
        <w:textAlignment w:val="baseline"/>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（一）科学编制国土空间规划。</w:t>
      </w:r>
      <w:r>
        <w:rPr>
          <w:rFonts w:hint="default" w:ascii="Times New Roman" w:hAnsi="Times New Roman" w:eastAsia="仿宋_GB2312" w:cs="Times New Roman"/>
          <w:b w:val="0"/>
          <w:bCs w:val="0"/>
          <w:kern w:val="0"/>
          <w:sz w:val="32"/>
          <w:szCs w:val="32"/>
          <w:shd w:val="clear" w:color="auto" w:fill="FFFFFF"/>
        </w:rPr>
        <w:t>打破县域内行政区划和建制界限，按照经济区与行政区适度分离的思路，科学划定了6个镇级片区，70个村级片区。围绕重大建设项目、违法用地整改、农村一二三产等未来用地需求，精准把握好城镇、农业、生态三类空间的平衡点，科学划定城镇开发边界、永久基本农田保护红线、生态保护红线。目前，我县第六轮“三区三线”划定成果并逐级上报至自然资源部审查。组织编制了《“9.16”灾后重建过渡期土地利用规划实施方案》，主要围绕城乡居民住房、公共服务设施、基础设施建设、产业发展、生态修复（含防灾减灾）五方面灾后重建重点任务，确定了28个泸县地震灾后恢复重建项目，涉及用地面积3609亩。目前，实施方案已通过省厅技术审查，并取得县政府审批。</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（二）扎实推进耕地保护。</w:t>
      </w:r>
      <w:r>
        <w:rPr>
          <w:rFonts w:hint="default" w:ascii="Times New Roman" w:hAnsi="Times New Roman" w:eastAsia="仿宋_GB2312" w:cs="Times New Roman"/>
          <w:b w:val="0"/>
          <w:bCs w:val="0"/>
          <w:kern w:val="0"/>
          <w:sz w:val="32"/>
          <w:szCs w:val="32"/>
          <w:shd w:val="clear" w:color="auto" w:fill="FFFFFF"/>
        </w:rPr>
        <w:t>制定《泸县耕地保护责任目标考核办法》《泸县耕地保护目标考核细则》等系列制度文件，将耕地保有量、基本农田保护面积、非农建设占用耕地、土地违法案件查处等指标纳入各镇（街道）年终目标考核，层层签订耕地保护目标责任书和基本农田保护责任书。积极推进“田长制”，形成一级抓一级、层层抓落实的耕地保护新机制和“横向到边、纵向到底、全覆盖、无缝隙”的耕地保护工作体系。我县“进出平衡”任务11699亩，实际完成13123亩，超额完成1424亩。全力做好农村村民建房农用地转用工作，办理农村村民建房农用地转用675宗72634平方米，全力以赴跑出农房改善“加速度”，让老百姓有更多的获得感和幸福感。</w:t>
      </w:r>
    </w:p>
    <w:p>
      <w:pPr>
        <w:pStyle w:val="11"/>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（三）高效落实要素保障。</w:t>
      </w:r>
      <w:r>
        <w:rPr>
          <w:rFonts w:hint="default" w:ascii="Times New Roman" w:hAnsi="Times New Roman" w:eastAsia="仿宋_GB2312" w:cs="Times New Roman"/>
          <w:b w:val="0"/>
          <w:bCs w:val="0"/>
          <w:kern w:val="0"/>
          <w:sz w:val="32"/>
          <w:szCs w:val="32"/>
          <w:shd w:val="clear" w:color="auto" w:fill="FFFFFF"/>
        </w:rPr>
        <w:t>用足用活省、市灾后恢复重建支持政策，严格执行“占一补一”“先补后占”政策，以保民生、保基础为重点，全力保障灾后恢复重建、重点基础设施、产业发展项目用地需求，全年完成征地报批1269.75亩。高效推进渝昆高铁、泸永高速等国、省重点项目用地保障工作，顺利取得部、省用地批复，为推进泸永江融合发展示范区建设提供要素保障支撑。完成了泸县区片综合地价修订工作，为我县开展征地拆迁工作、保障农民权益提供了政策保障。</w:t>
      </w:r>
    </w:p>
    <w:p>
      <w:pPr>
        <w:pStyle w:val="11"/>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（四）强化集约节约利用。</w:t>
      </w:r>
      <w:r>
        <w:rPr>
          <w:rFonts w:hint="default" w:ascii="Times New Roman" w:hAnsi="Times New Roman" w:eastAsia="仿宋_GB2312" w:cs="Times New Roman"/>
          <w:b w:val="0"/>
          <w:bCs w:val="0"/>
          <w:kern w:val="0"/>
          <w:sz w:val="32"/>
          <w:szCs w:val="32"/>
          <w:shd w:val="clear" w:color="auto" w:fill="FFFFFF"/>
        </w:rPr>
        <w:t>全面开展闲置土地清理处置，实施差别化土地供应政策，通过“亩均论英雄”、节地评价及标准化建设等措施，积极盘活存量，强化土地供应。2017-2021年度批准用地面积29422亩，已供应19419亩，截至目前供地率为66%，已完成省市考核任务。</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（五）统筹推动生态修复。</w:t>
      </w:r>
      <w:r>
        <w:rPr>
          <w:rFonts w:hint="default" w:ascii="Times New Roman" w:hAnsi="Times New Roman" w:eastAsia="仿宋_GB2312" w:cs="Times New Roman"/>
          <w:b w:val="0"/>
          <w:bCs w:val="0"/>
          <w:kern w:val="0"/>
          <w:sz w:val="32"/>
          <w:szCs w:val="32"/>
          <w:shd w:val="clear" w:color="auto" w:fill="FFFFFF"/>
        </w:rPr>
        <w:t>扎实推进历史遗留废弃矿山生态修复和沿长江生态治理工作，指导在册非煤矿山编制年度生态修复总结和2022年度生态修复计划，目前已完成17家；组织开展矿山生态修复问题排查整治专项行动，排查出5个问题，均已督促企业整改到位。严格按照《土地复垦条例》及其实施办法相关规定，加强临时用地土地复垦监管。组织专家评审土地复垦方案39个；会同县农业农村局、县生态环境局完成了天洋金峰硅砂、友豪搅拌站、太伏鑫盛石材厂、渝昆高铁弃土场4宗临时用地复垦验收；会同农业农村局验收违法用地复垦图斑34个。</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（六）加强森林资源管控。</w:t>
      </w:r>
      <w:r>
        <w:rPr>
          <w:rFonts w:hint="default" w:ascii="Times New Roman" w:hAnsi="Times New Roman" w:eastAsia="仿宋_GB2312" w:cs="Times New Roman"/>
          <w:b w:val="0"/>
          <w:bCs w:val="0"/>
          <w:kern w:val="0"/>
          <w:sz w:val="32"/>
          <w:szCs w:val="32"/>
          <w:shd w:val="clear" w:color="auto" w:fill="FFFFFF"/>
        </w:rPr>
        <w:t>全面建立县、镇（街道）、村（社区）三级林长制组织体系。2022年营造林目标任务1.5万亩，义务植150万株，到目前实际完成营造林1.51万亩，义务植树155万株，分别完成目标任务的100.7%、103.3%。巩固退耕还林成果7.2万亩，兑现前一轮退耕还生态林森林抚育面积5.7万亩114.41万元，目前已完成前一轮退耕还生态林森林抚育资金112.49万元，完成全年任务的98.32%，预计在11底前可完成兑现工作。林业总产值目标任务22.5亿元，目前已完成14.38亿元，同比增幅10%，农民人均林业收入1660元，预计在12月底前可全面完成林业产业产值目标任务。林业科技推广油茶栽植示范项目正积极推进，预计年底前可通过省市验收。聘请专业队伍开展松材线虫病秋季专项普查，实现全县松林面积7.06万亩全覆盖，监测率100%。实施森林管护面积6.63万亩，完成天保工程森林管护项目和森林生态效益补偿项目，生态效益补偿资金51万元，惠及农户17022户，退耕还生态林森林抚育补助114.41万元，惠及农户47600户。</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（七）严格土地执法监管。</w:t>
      </w:r>
      <w:r>
        <w:rPr>
          <w:rFonts w:hint="default" w:ascii="Times New Roman" w:hAnsi="Times New Roman" w:eastAsia="仿宋_GB2312" w:cs="Times New Roman"/>
          <w:b w:val="0"/>
          <w:bCs w:val="0"/>
          <w:kern w:val="0"/>
          <w:sz w:val="32"/>
          <w:szCs w:val="32"/>
          <w:shd w:val="clear" w:color="auto" w:fill="FFFFFF"/>
        </w:rPr>
        <w:t>强化自然资源执法监管巡查，坚持“工作走在问题前面”的理念，从源头上遏制违法用地现象发生，力争将违法行为消灭在萌芽状态。</w:t>
      </w:r>
      <w:r>
        <w:rPr>
          <w:rFonts w:hint="eastAsia" w:eastAsia="仿宋_GB2312" w:cs="Times New Roman"/>
          <w:b w:val="0"/>
          <w:bCs w:val="0"/>
          <w:kern w:val="0"/>
          <w:sz w:val="32"/>
          <w:szCs w:val="32"/>
          <w:shd w:val="clear" w:color="auto" w:fill="FFFFFF"/>
          <w:lang w:eastAsia="zh-CN"/>
        </w:rPr>
        <w:t>截至目前</w:t>
      </w:r>
      <w:r>
        <w:rPr>
          <w:rFonts w:hint="default" w:ascii="Times New Roman" w:hAnsi="Times New Roman" w:eastAsia="仿宋_GB2312" w:cs="Times New Roman"/>
          <w:b w:val="0"/>
          <w:bCs w:val="0"/>
          <w:kern w:val="0"/>
          <w:sz w:val="32"/>
          <w:szCs w:val="32"/>
          <w:shd w:val="clear" w:color="auto" w:fill="FFFFFF"/>
        </w:rPr>
        <w:t>开展土地动态巡查1008次，参与人数2148人，矿山动态巡查894次，参与人数2338人，购买服务实测煤矿3个、巡查矿山35个。立案查处土地案件25宗，林业案件14中，已结案16宗，正在办理23宗。处理信访举报26件，已回复24件。开展2021、2022年卫片执法违法问题整改，已整改到位547个5486.35亩，正在整改294个1235.47亩，对历年复耕乱象开展清查整治两次，对发现问题立即进行了整改。开展农村乱占耕地建房问题专项整治工作，我县纳入国、省乱占耕地建房问题“顶风违建”74宗，已整改销号73宗,正在整改1宗；采取有力措施开展农村乱占耕地建房非住宅房屋信息补充摸排工作，共计摸排图斑51280个。</w:t>
      </w:r>
    </w:p>
    <w:p>
      <w:pPr>
        <w:pageBreakBefore w:val="0"/>
        <w:kinsoku/>
        <w:wordWrap/>
        <w:overflowPunct/>
        <w:topLinePunct w:val="0"/>
        <w:autoSpaceDE/>
        <w:autoSpaceDN/>
        <w:bidi w:val="0"/>
        <w:spacing w:line="578" w:lineRule="exact"/>
        <w:ind w:left="0" w:leftChars="0" w:firstLine="640" w:firstLineChars="200"/>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（八）狠抓安全底线工作。</w:t>
      </w:r>
      <w:r>
        <w:rPr>
          <w:rFonts w:hint="default" w:ascii="Times New Roman" w:hAnsi="Times New Roman" w:eastAsia="仿宋_GB2312" w:cs="Times New Roman"/>
          <w:b w:val="0"/>
          <w:bCs w:val="0"/>
          <w:kern w:val="0"/>
          <w:sz w:val="32"/>
          <w:szCs w:val="32"/>
          <w:shd w:val="clear" w:color="auto" w:fill="FFFFFF"/>
        </w:rPr>
        <w:t>在全县组建21支森林防火宣讲队，常态化开展森林防火宣传，在全县营造出“人人讲防火、人人懂防火、人人抓防火”的浓厚社会氛围。开展隐患排查，重点突出“三重一细”和“五周五缘”区域，已累计清理林下可燃物5200余亩8000余吨，排查出涉林火灾隐患114个，已全面落实整改销号。地灾防治工作始终坚持以人为本、预防为主、避让和治理相结合的原则，全县上下严格落实“四个避让”“三个紧急撤离”刚性要求，将“人民至上、生命至上”贯穿地灾防治全过程、各环节，今年已组织地灾点受威胁群众转移避让5次，涉及160户632人次。争取到省级资金1550万元，统筹用于震后27处地灾隐患整治。截至目前，已整治消除地灾隐患21处，剩余6处正有序推进整治工作，预计年底前可全部完成整治。我县已连续23年保持地质灾害防治工作零伤亡的目标。</w:t>
      </w:r>
    </w:p>
    <w:p>
      <w:pPr>
        <w:pStyle w:val="11"/>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kern w:val="0"/>
          <w:sz w:val="32"/>
          <w:szCs w:val="32"/>
          <w:shd w:val="clear" w:color="auto" w:fill="FFFFFF"/>
        </w:rPr>
        <w:t>（九）强化党建引领作用。一是凝心聚力抓好党建引领。认真贯彻落实习近平新时代中国特色社会主义思想、习近平总书记来川视察重要指示精神和省第十二次党代会精神等上级相关重要会议和领导批示指示精神。深入学习贯彻党的二十大精神，切实把全局各级党组织和党员干部的思想行动统一到党的二十大精神上来。二是开展内容丰富的活动。组织开展“保护耕地 你我同在”演讲比赛，组织干部职工参加泸县第二届“无毒龙城杯”全民健身职工运动会暨第八届职工羽毛球赛和泸县第十八届龙城金秋职工篮球赛，激励全县自然资源系统干部职工勇担重任、奋发竞进的动力。三是发挥党员先锋模范作用。组织广大党员、干部下沉一线、巡山护林、蹲点值守，全力以赴打赢极端高温天气下森林防火攻坚战，筑牢森林防灭火安全屏障。“9.5”疫情发生后，组织27名志愿者“逆行”出征，成立3个临时党支部，深入太伏镇太平社区、林桥村、石坝村开展疫情防控工作，坚决守住守牢疫情防控阵地。组织党员干部开展上门办证服务46次、助力灾后重建，提供“足不出镇”服务50余次、延时服务105次、绿色通道容缺受理37次、急件办理服务286次等服务，扎实有效地实施“民心工程”切实提升群众的满意度获得感，增进民生福祉。</w:t>
      </w:r>
    </w:p>
    <w:p>
      <w:pPr>
        <w:pStyle w:val="11"/>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kern w:val="0"/>
          <w:sz w:val="32"/>
          <w:szCs w:val="32"/>
          <w:shd w:val="clear" w:color="auto" w:fill="FFFFFF"/>
        </w:rPr>
        <w:t>（十）党风廉政持续向好。落实全面从严治党主体责任，严格执行党内议事规则和“三重一大”民主决策、述责述廉、约谈、考核等工作制度，常态化分析研判系统党风廉政建设形势，及时加强风险防控。以“清单制”工作为载体，盯紧看牢森林防火、地灾防治、征地拆迁、规划编制等关键领域，安排部署系统治理、借培训之机搞公款旅游、实施“民心守护”工程等重点工作。每年开展廉政谈话500余人次，落实“一岗双责”工作监督1000余次。聚焦群众“急难愁盼”等民生实际问题，持之以恒正风肃纪，大力开展系统腐败和作风问题专项治理等专项行动，设置“办不成事”受理窗口，破解困扰30多个历史遗留难题。常态化开展警示教育，严格运用监督执纪“四种形态”，今年，处理干部4人次</w:t>
      </w:r>
      <w:r>
        <w:rPr>
          <w:rFonts w:hint="eastAsia" w:eastAsia="仿宋_GB2312" w:cs="Times New Roman"/>
          <w:b w:val="0"/>
          <w:bCs w:val="0"/>
          <w:kern w:val="0"/>
          <w:sz w:val="32"/>
          <w:szCs w:val="32"/>
          <w:shd w:val="clear" w:color="auto" w:fill="FFFFFF"/>
          <w:lang w:eastAsia="zh-CN"/>
        </w:rPr>
        <w:t>（</w:t>
      </w:r>
      <w:r>
        <w:rPr>
          <w:rFonts w:hint="default" w:ascii="Times New Roman" w:hAnsi="Times New Roman" w:eastAsia="仿宋_GB2312" w:cs="Times New Roman"/>
          <w:b w:val="0"/>
          <w:bCs w:val="0"/>
          <w:kern w:val="0"/>
          <w:sz w:val="32"/>
          <w:szCs w:val="32"/>
          <w:shd w:val="clear" w:color="auto" w:fill="FFFFFF"/>
        </w:rPr>
        <w:t>含1名退休干部），通报9人，批评教育1人，作风建设进一步深化。</w:t>
      </w:r>
    </w:p>
    <w:p>
      <w:pPr>
        <w:pStyle w:val="4"/>
        <w:pageBreakBefore w:val="0"/>
        <w:kinsoku/>
        <w:wordWrap/>
        <w:overflowPunct/>
        <w:topLinePunct w:val="0"/>
        <w:autoSpaceDE/>
        <w:autoSpaceDN/>
        <w:bidi w:val="0"/>
        <w:spacing w:before="0" w:after="0" w:line="578" w:lineRule="exact"/>
        <w:ind w:left="0" w:leftChars="0" w:firstLine="640" w:firstLineChars="200"/>
        <w:rPr>
          <w:rStyle w:val="37"/>
          <w:rFonts w:hint="default" w:ascii="Times New Roman" w:hAnsi="Times New Roman" w:eastAsia="仿宋_GB2312" w:cs="Times New Roman"/>
          <w:b w:val="0"/>
          <w:bCs w:val="0"/>
          <w:sz w:val="32"/>
          <w:szCs w:val="32"/>
        </w:rPr>
      </w:pPr>
      <w:bookmarkStart w:id="38" w:name="_Toc149227132"/>
      <w:bookmarkStart w:id="39" w:name="_Toc15377200"/>
      <w:bookmarkStart w:id="40" w:name="_Toc15396601"/>
      <w:r>
        <w:rPr>
          <w:rFonts w:hint="default" w:ascii="Times New Roman" w:hAnsi="Times New Roman" w:eastAsia="仿宋_GB2312" w:cs="Times New Roman"/>
          <w:b w:val="0"/>
          <w:bCs w:val="0"/>
          <w:sz w:val="32"/>
          <w:szCs w:val="32"/>
          <w:lang w:eastAsia="zh-CN"/>
        </w:rPr>
        <w:t>三、</w:t>
      </w:r>
      <w:r>
        <w:rPr>
          <w:rFonts w:hint="default" w:ascii="Times New Roman" w:hAnsi="Times New Roman" w:eastAsia="仿宋_GB2312" w:cs="Times New Roman"/>
          <w:b w:val="0"/>
          <w:bCs w:val="0"/>
          <w:sz w:val="32"/>
          <w:szCs w:val="32"/>
        </w:rPr>
        <w:t>机</w:t>
      </w:r>
      <w:r>
        <w:rPr>
          <w:rStyle w:val="37"/>
          <w:rFonts w:hint="default" w:ascii="Times New Roman" w:hAnsi="Times New Roman" w:eastAsia="仿宋_GB2312" w:cs="Times New Roman"/>
          <w:b w:val="0"/>
          <w:bCs w:val="0"/>
          <w:sz w:val="32"/>
          <w:szCs w:val="32"/>
        </w:rPr>
        <w:t>构设置</w:t>
      </w:r>
      <w:bookmarkEnd w:id="38"/>
      <w:bookmarkEnd w:id="39"/>
      <w:bookmarkEnd w:id="40"/>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color w:val="000000"/>
          <w:kern w:val="0"/>
          <w:sz w:val="32"/>
          <w:szCs w:val="32"/>
          <w:shd w:val="clear" w:color="auto" w:fill="FFFFFF"/>
        </w:rPr>
        <w:t>自然资源和规划局属行政单位，下</w:t>
      </w:r>
      <w:r>
        <w:rPr>
          <w:rFonts w:hint="default" w:ascii="Times New Roman" w:hAnsi="Times New Roman" w:eastAsia="仿宋_GB2312" w:cs="Times New Roman"/>
          <w:b w:val="0"/>
          <w:bCs w:val="0"/>
          <w:sz w:val="32"/>
          <w:szCs w:val="32"/>
        </w:rPr>
        <w:t>属</w:t>
      </w:r>
      <w:r>
        <w:rPr>
          <w:rFonts w:hint="default" w:ascii="Times New Roman" w:hAnsi="Times New Roman" w:eastAsia="仿宋_GB2312" w:cs="Times New Roman"/>
          <w:b w:val="0"/>
          <w:bCs w:val="0"/>
          <w:color w:val="000000"/>
          <w:kern w:val="0"/>
          <w:sz w:val="32"/>
          <w:szCs w:val="32"/>
          <w:shd w:val="clear" w:color="auto" w:fill="FFFFFF"/>
        </w:rPr>
        <w:t>二级</w:t>
      </w:r>
      <w:r>
        <w:rPr>
          <w:rFonts w:hint="default" w:ascii="Times New Roman" w:hAnsi="Times New Roman" w:eastAsia="仿宋_GB2312" w:cs="Times New Roman"/>
          <w:b w:val="0"/>
          <w:bCs w:val="0"/>
          <w:sz w:val="32"/>
          <w:szCs w:val="32"/>
        </w:rPr>
        <w:t>单位7个，其中参照公务员法管理的事业单位2个，其他事业单位5个。</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color w:val="000000"/>
          <w:kern w:val="0"/>
          <w:sz w:val="32"/>
          <w:szCs w:val="32"/>
          <w:shd w:val="clear" w:color="auto" w:fill="FFFFFF"/>
        </w:rPr>
      </w:pPr>
      <w:r>
        <w:rPr>
          <w:rFonts w:hint="default" w:ascii="Times New Roman" w:hAnsi="Times New Roman" w:eastAsia="仿宋_GB2312" w:cs="Times New Roman"/>
          <w:b w:val="0"/>
          <w:bCs w:val="0"/>
          <w:color w:val="000000"/>
          <w:sz w:val="32"/>
          <w:szCs w:val="32"/>
          <w:shd w:val="clear" w:color="auto" w:fill="FFFFFF"/>
        </w:rPr>
        <w:t>下属参照公务员法管理的事业</w:t>
      </w:r>
      <w:r>
        <w:rPr>
          <w:rFonts w:hint="default" w:ascii="Times New Roman" w:hAnsi="Times New Roman" w:eastAsia="仿宋_GB2312" w:cs="Times New Roman"/>
          <w:b w:val="0"/>
          <w:bCs w:val="0"/>
          <w:sz w:val="32"/>
          <w:szCs w:val="32"/>
        </w:rPr>
        <w:t>分别为泸县国土资源执法监察大队、泸县森林植物病虫防治检疫站。其他事业单位分别为泸县林业科技推广站、泸县国有林场、泸县自然资源所、泸县不动产登记中心、泸县自然资源和规划综合服务中心。</w:t>
      </w:r>
    </w:p>
    <w:p>
      <w:pPr>
        <w:pageBreakBefore w:val="0"/>
        <w:kinsoku/>
        <w:wordWrap/>
        <w:overflowPunct/>
        <w:topLinePunct w:val="0"/>
        <w:autoSpaceDE/>
        <w:autoSpaceDN/>
        <w:bidi w:val="0"/>
        <w:spacing w:line="578" w:lineRule="exact"/>
        <w:ind w:left="0" w:leftChars="0" w:firstLine="800" w:firstLineChars="250"/>
        <w:rPr>
          <w:rFonts w:hint="default" w:ascii="Times New Roman" w:hAnsi="Times New Roman" w:eastAsia="仿宋_GB2312" w:cs="Times New Roman"/>
          <w:b w:val="0"/>
          <w:bCs w:val="0"/>
          <w:color w:val="00000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2022年根据党中央和省委、市委、县委关于深化事业单位改革的有关精神。我局下属泸县玉蟾国土资源所、泸县福集国土资源所、泸县嘉明国土资源所、泸县喻寺国土资源所、泸县方洞国土资源所、泸县得胜国土资源所、泸县天兴国土资源所、泸县海湖国土资源所、泸县潮河国土资源所、泸县牛滩国土资源所、泸县毗卢国土资源所、泸县石桥国土资源所、泸县玄雄国土资源所、泸县云龙国土资源所、泸县奇峰国土资源所、泸县百和国土资源所、泸县立石国土资源所、泸县兆雅国土资源所、泸县云锦国土资源所、泸县太伏国土资源所整合组建泸县自然资源所。泸县土地统征和储备中心、泸县土地整治中心、泸县城乡规划编制研究中心、泸县地质环境监测站、泸县玉端凤景名胜区管理处整合组建泸县自然资源和规划综合服务中心</w:t>
      </w:r>
      <w:r>
        <w:rPr>
          <w:rFonts w:hint="eastAsia" w:eastAsia="仿宋_GB2312" w:cs="Times New Roman"/>
          <w:b w:val="0"/>
          <w:bCs w:val="0"/>
          <w:color w:val="000000"/>
          <w:kern w:val="0"/>
          <w:sz w:val="32"/>
          <w:szCs w:val="32"/>
          <w:shd w:val="clear" w:color="auto" w:fill="FFFFFF"/>
          <w:lang w:eastAsia="zh-CN"/>
        </w:rPr>
        <w:t>（</w:t>
      </w:r>
      <w:r>
        <w:rPr>
          <w:rFonts w:hint="default" w:ascii="Times New Roman" w:hAnsi="Times New Roman" w:eastAsia="仿宋_GB2312" w:cs="Times New Roman"/>
          <w:b w:val="0"/>
          <w:bCs w:val="0"/>
          <w:color w:val="000000"/>
          <w:kern w:val="0"/>
          <w:sz w:val="32"/>
          <w:szCs w:val="32"/>
          <w:shd w:val="clear" w:color="auto" w:fill="FFFFFF"/>
        </w:rPr>
        <w:t>挂长江上游珍稀特有鱼类国家级自然保护区泸县管理站牌子</w:t>
      </w:r>
      <w:r>
        <w:rPr>
          <w:rFonts w:hint="eastAsia" w:eastAsia="仿宋_GB2312" w:cs="Times New Roman"/>
          <w:b w:val="0"/>
          <w:bCs w:val="0"/>
          <w:color w:val="000000"/>
          <w:kern w:val="0"/>
          <w:sz w:val="32"/>
          <w:szCs w:val="32"/>
          <w:shd w:val="clear" w:color="auto" w:fill="FFFFFF"/>
          <w:lang w:eastAsia="zh-CN"/>
        </w:rPr>
        <w:t>）</w:t>
      </w:r>
      <w:r>
        <w:rPr>
          <w:rFonts w:hint="default" w:ascii="Times New Roman" w:hAnsi="Times New Roman" w:eastAsia="仿宋_GB2312" w:cs="Times New Roman"/>
          <w:b w:val="0"/>
          <w:bCs w:val="0"/>
          <w:color w:val="000000"/>
          <w:kern w:val="0"/>
          <w:sz w:val="32"/>
          <w:szCs w:val="32"/>
          <w:shd w:val="clear" w:color="auto" w:fill="FFFFFF"/>
        </w:rPr>
        <w:t>。</w:t>
      </w:r>
    </w:p>
    <w:p>
      <w:pPr>
        <w:pStyle w:val="2"/>
        <w:pageBreakBefore w:val="0"/>
        <w:kinsoku/>
        <w:wordWrap/>
        <w:overflowPunct/>
        <w:topLinePunct w:val="0"/>
        <w:autoSpaceDE/>
        <w:autoSpaceDN/>
        <w:bidi w:val="0"/>
        <w:spacing w:line="578" w:lineRule="exact"/>
        <w:ind w:left="0" w:leftChars="0" w:firstLine="672" w:firstLineChars="21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纳入</w:t>
      </w:r>
      <w:r>
        <w:rPr>
          <w:rFonts w:hint="default" w:ascii="Times New Roman" w:hAnsi="Times New Roman" w:eastAsia="仿宋_GB2312" w:cs="Times New Roman"/>
          <w:b w:val="0"/>
          <w:bCs w:val="0"/>
          <w:color w:val="000000"/>
          <w:sz w:val="32"/>
          <w:szCs w:val="32"/>
          <w:shd w:val="clear" w:color="auto" w:fill="FFFFFF"/>
        </w:rPr>
        <w:t>自然资源和规划局</w:t>
      </w:r>
      <w:r>
        <w:rPr>
          <w:rFonts w:hint="default" w:ascii="Times New Roman" w:hAnsi="Times New Roman" w:eastAsia="仿宋_GB2312" w:cs="Times New Roman"/>
          <w:b w:val="0"/>
          <w:bCs w:val="0"/>
          <w:sz w:val="32"/>
          <w:szCs w:val="32"/>
        </w:rPr>
        <w:t>2022年度部门决算编制范围的二级单位包括：</w:t>
      </w:r>
    </w:p>
    <w:p>
      <w:pPr>
        <w:pStyle w:val="8"/>
        <w:pageBreakBefore w:val="0"/>
        <w:kinsoku/>
        <w:wordWrap/>
        <w:overflowPunct/>
        <w:topLinePunct w:val="0"/>
        <w:autoSpaceDE/>
        <w:autoSpaceDN/>
        <w:bidi w:val="0"/>
        <w:spacing w:after="0" w:line="578" w:lineRule="exact"/>
        <w:ind w:left="0" w:leftChars="0" w:firstLine="640" w:firstLineChars="200"/>
        <w:rPr>
          <w:rFonts w:hint="default" w:ascii="Times New Roman" w:hAnsi="Times New Roman" w:eastAsia="仿宋_GB2312" w:cs="Times New Roman"/>
          <w:b w:val="0"/>
          <w:bCs w:val="0"/>
          <w:kern w:val="0"/>
          <w:sz w:val="32"/>
          <w:szCs w:val="32"/>
        </w:rPr>
      </w:pPr>
      <w:bookmarkStart w:id="41" w:name="_Toc15306275"/>
      <w:bookmarkStart w:id="42" w:name="_Toc15377201"/>
      <w:bookmarkStart w:id="43" w:name="_Toc15378448"/>
      <w:bookmarkStart w:id="44" w:name="_Toc15377432"/>
      <w:r>
        <w:rPr>
          <w:rFonts w:hint="default" w:ascii="Times New Roman" w:hAnsi="Times New Roman" w:eastAsia="仿宋_GB2312" w:cs="Times New Roman"/>
          <w:b w:val="0"/>
          <w:bCs w:val="0"/>
          <w:kern w:val="0"/>
          <w:sz w:val="32"/>
          <w:szCs w:val="32"/>
        </w:rPr>
        <w:t>1.泸县国土资源执法监察大队</w:t>
      </w:r>
      <w:bookmarkEnd w:id="41"/>
      <w:bookmarkEnd w:id="42"/>
      <w:bookmarkEnd w:id="43"/>
      <w:bookmarkEnd w:id="44"/>
    </w:p>
    <w:p>
      <w:pPr>
        <w:pStyle w:val="8"/>
        <w:pageBreakBefore w:val="0"/>
        <w:kinsoku/>
        <w:wordWrap/>
        <w:overflowPunct/>
        <w:topLinePunct w:val="0"/>
        <w:autoSpaceDE/>
        <w:autoSpaceDN/>
        <w:bidi w:val="0"/>
        <w:spacing w:after="0" w:line="578" w:lineRule="exact"/>
        <w:ind w:left="0" w:leftChars="0"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2.泸县森林植物病虫防治检疫站</w:t>
      </w:r>
    </w:p>
    <w:p>
      <w:pPr>
        <w:pStyle w:val="8"/>
        <w:pageBreakBefore w:val="0"/>
        <w:kinsoku/>
        <w:wordWrap/>
        <w:overflowPunct/>
        <w:topLinePunct w:val="0"/>
        <w:autoSpaceDE/>
        <w:autoSpaceDN/>
        <w:bidi w:val="0"/>
        <w:spacing w:after="0" w:line="578" w:lineRule="exact"/>
        <w:ind w:left="0" w:leftChars="0"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3.泸县林业科技推广站</w:t>
      </w:r>
    </w:p>
    <w:p>
      <w:pPr>
        <w:pStyle w:val="8"/>
        <w:pageBreakBefore w:val="0"/>
        <w:kinsoku/>
        <w:wordWrap/>
        <w:overflowPunct/>
        <w:topLinePunct w:val="0"/>
        <w:autoSpaceDE/>
        <w:autoSpaceDN/>
        <w:bidi w:val="0"/>
        <w:spacing w:after="0" w:line="578" w:lineRule="exact"/>
        <w:ind w:left="0" w:leftChars="0"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4.泸县国有林场</w:t>
      </w:r>
    </w:p>
    <w:p>
      <w:pPr>
        <w:pStyle w:val="8"/>
        <w:pageBreakBefore w:val="0"/>
        <w:kinsoku/>
        <w:wordWrap/>
        <w:overflowPunct/>
        <w:topLinePunct w:val="0"/>
        <w:autoSpaceDE/>
        <w:autoSpaceDN/>
        <w:bidi w:val="0"/>
        <w:spacing w:after="0" w:line="578" w:lineRule="exact"/>
        <w:ind w:left="0" w:leftChars="0"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5.泸县自然资源所</w:t>
      </w:r>
    </w:p>
    <w:p>
      <w:pPr>
        <w:pStyle w:val="8"/>
        <w:pageBreakBefore w:val="0"/>
        <w:kinsoku/>
        <w:wordWrap/>
        <w:overflowPunct/>
        <w:topLinePunct w:val="0"/>
        <w:autoSpaceDE/>
        <w:autoSpaceDN/>
        <w:bidi w:val="0"/>
        <w:spacing w:after="0" w:line="578" w:lineRule="exact"/>
        <w:ind w:left="0" w:leftChars="0"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6.泸县不动产登记中心</w:t>
      </w:r>
    </w:p>
    <w:p>
      <w:pPr>
        <w:pStyle w:val="8"/>
        <w:pageBreakBefore w:val="0"/>
        <w:kinsoku/>
        <w:wordWrap/>
        <w:overflowPunct/>
        <w:topLinePunct w:val="0"/>
        <w:autoSpaceDE/>
        <w:autoSpaceDN/>
        <w:bidi w:val="0"/>
        <w:adjustRightInd w:val="0"/>
        <w:snapToGrid w:val="0"/>
        <w:spacing w:after="0" w:line="578" w:lineRule="exact"/>
        <w:ind w:left="0" w:leftChars="0"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泸县自然资源和规划综合服务中心为一级预算单位，决算等相关信息另行编制。</w:t>
      </w:r>
    </w:p>
    <w:p>
      <w:pPr>
        <w:pStyle w:val="3"/>
        <w:pageBreakBefore w:val="0"/>
        <w:widowControl w:val="0"/>
        <w:numPr>
          <w:ilvl w:val="0"/>
          <w:numId w:val="1"/>
        </w:numPr>
        <w:kinsoku/>
        <w:wordWrap/>
        <w:overflowPunct/>
        <w:topLinePunct w:val="0"/>
        <w:autoSpaceDE/>
        <w:autoSpaceDN/>
        <w:bidi w:val="0"/>
        <w:adjustRightInd/>
        <w:snapToGrid/>
        <w:spacing w:before="0" w:after="0" w:line="578" w:lineRule="exact"/>
        <w:jc w:val="center"/>
        <w:textAlignment w:val="auto"/>
        <w:rPr>
          <w:rFonts w:hint="default" w:ascii="Times New Roman" w:hAnsi="Times New Roman" w:eastAsia="方正小标宋_GBK" w:cs="Times New Roman"/>
          <w:b w:val="0"/>
          <w:bCs w:val="0"/>
          <w:sz w:val="44"/>
          <w:szCs w:val="44"/>
        </w:rPr>
      </w:pPr>
      <w:r>
        <w:rPr>
          <w:rFonts w:hint="default" w:ascii="Times New Roman" w:hAnsi="Times New Roman" w:cs="Times New Roman"/>
          <w:b w:val="0"/>
          <w:bCs w:val="0"/>
          <w:sz w:val="32"/>
          <w:szCs w:val="32"/>
        </w:rPr>
        <w:br w:type="page"/>
      </w:r>
      <w:bookmarkStart w:id="45" w:name="_Toc15396602"/>
      <w:bookmarkStart w:id="46" w:name="_Toc15377204"/>
      <w:bookmarkStart w:id="47" w:name="_Toc149227133"/>
      <w:r>
        <w:rPr>
          <w:rFonts w:hint="default" w:ascii="Times New Roman" w:hAnsi="Times New Roman" w:eastAsia="方正小标宋_GBK" w:cs="Times New Roman"/>
          <w:b w:val="0"/>
          <w:bCs w:val="0"/>
          <w:sz w:val="44"/>
          <w:szCs w:val="44"/>
        </w:rPr>
        <w:t>2022年度部门决算情况说明</w:t>
      </w:r>
      <w:bookmarkEnd w:id="45"/>
      <w:bookmarkEnd w:id="46"/>
      <w:bookmarkEnd w:id="47"/>
    </w:p>
    <w:p>
      <w:pPr>
        <w:numPr>
          <w:ilvl w:val="0"/>
          <w:numId w:val="0"/>
        </w:numPr>
        <w:rPr>
          <w:rFonts w:hint="default" w:ascii="Times New Roman" w:hAnsi="Times New Roman" w:cs="Times New Roman"/>
          <w:b w:val="0"/>
          <w:bCs w:val="0"/>
        </w:rPr>
      </w:pPr>
    </w:p>
    <w:p>
      <w:pPr>
        <w:pStyle w:val="4"/>
        <w:pageBreakBefore w:val="0"/>
        <w:widowControl w:val="0"/>
        <w:kinsoku/>
        <w:wordWrap/>
        <w:overflowPunct/>
        <w:topLinePunct w:val="0"/>
        <w:autoSpaceDE/>
        <w:autoSpaceDN/>
        <w:bidi w:val="0"/>
        <w:adjustRightInd/>
        <w:snapToGrid/>
        <w:spacing w:before="0" w:after="0" w:line="578" w:lineRule="exact"/>
        <w:ind w:firstLine="640" w:firstLineChars="200"/>
        <w:textAlignment w:val="auto"/>
        <w:rPr>
          <w:rFonts w:hint="default" w:ascii="Times New Roman" w:hAnsi="Times New Roman" w:eastAsia="仿宋_GB2312" w:cs="Times New Roman"/>
          <w:b w:val="0"/>
          <w:bCs w:val="0"/>
          <w:sz w:val="32"/>
          <w:szCs w:val="32"/>
        </w:rPr>
      </w:pPr>
      <w:bookmarkStart w:id="48" w:name="_Toc149227134"/>
      <w:bookmarkStart w:id="49" w:name="_Toc15377205"/>
      <w:bookmarkStart w:id="50" w:name="_Toc15396603"/>
      <w:r>
        <w:rPr>
          <w:rFonts w:hint="default" w:ascii="Times New Roman" w:hAnsi="Times New Roman" w:eastAsia="仿宋_GB2312" w:cs="Times New Roman"/>
          <w:b w:val="0"/>
          <w:bCs w:val="0"/>
          <w:sz w:val="32"/>
          <w:szCs w:val="32"/>
        </w:rPr>
        <w:t>一、收入支出决算总体情况说明</w:t>
      </w:r>
      <w:bookmarkEnd w:id="48"/>
      <w:bookmarkEnd w:id="49"/>
      <w:bookmarkEnd w:id="50"/>
    </w:p>
    <w:p>
      <w:pPr>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2022年度收、支总计9121.43万元。与2021年相比，收、支总计各减少1242.28万元，下降11.99%。主要变动原因是减少了人员经费及项目支出。（图1：收、支决算总计变动情况图）</w:t>
      </w:r>
    </w:p>
    <w:p>
      <w:pPr>
        <w:pStyle w:val="2"/>
        <w:pageBreakBefore w:val="0"/>
        <w:widowControl w:val="0"/>
        <w:kinsoku/>
        <w:wordWrap/>
        <w:overflowPunct/>
        <w:topLinePunct w:val="0"/>
        <w:autoSpaceDE/>
        <w:autoSpaceDN/>
        <w:bidi w:val="0"/>
        <w:spacing w:before="93"/>
        <w:jc w:val="center"/>
        <w:textAlignment w:val="auto"/>
        <w:rPr>
          <w:rFonts w:hint="default" w:ascii="Times New Roman" w:hAnsi="Times New Roman" w:cs="Times New Roman"/>
          <w:b w:val="0"/>
          <w:bCs w:val="0"/>
        </w:rPr>
      </w:pPr>
      <w:r>
        <w:rPr>
          <w:rFonts w:hint="default" w:ascii="Times New Roman" w:hAnsi="Times New Roman" w:cs="Times New Roman"/>
          <w:b w:val="0"/>
          <w:bCs w:val="0"/>
        </w:rPr>
        <w:drawing>
          <wp:inline distT="0" distB="0" distL="0" distR="0">
            <wp:extent cx="4524375" cy="2466975"/>
            <wp:effectExtent l="19050" t="0" r="9525" b="0"/>
            <wp:docPr id="5"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bookmarkStart w:id="51" w:name="_Toc149227135"/>
      <w:bookmarkStart w:id="52" w:name="_Toc15396604"/>
      <w:bookmarkStart w:id="53" w:name="_Toc15377206"/>
    </w:p>
    <w:p>
      <w:pPr>
        <w:pStyle w:val="2"/>
        <w:keepNext w:val="0"/>
        <w:keepLines w:val="0"/>
        <w:pageBreakBefore w:val="0"/>
        <w:widowControl w:val="0"/>
        <w:numPr>
          <w:ilvl w:val="0"/>
          <w:numId w:val="2"/>
        </w:numPr>
        <w:kinsoku/>
        <w:wordWrap/>
        <w:overflowPunct/>
        <w:topLinePunct w:val="0"/>
        <w:autoSpaceDE/>
        <w:autoSpaceDN/>
        <w:bidi w:val="0"/>
        <w:adjustRightInd w:val="0"/>
        <w:snapToGrid w:val="0"/>
        <w:spacing w:line="578" w:lineRule="exact"/>
        <w:ind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收入决算情况说明</w:t>
      </w:r>
      <w:bookmarkEnd w:id="51"/>
      <w:bookmarkEnd w:id="52"/>
      <w:bookmarkEnd w:id="53"/>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2022年本年收入合计8969.35万元，其中：一般公共预算财政拨款收入7921.8万元，占88.32%；政府性基金预算财政拨款收入1047.55万元，占11.68%；国有资本经营预算财政拨款收入0万元，占0%；上级补助收入0万元，占0%；事业收入0万元，占0%；经营收入0万元，占0%；附属单位上缴收入0万元，占0%；其他收入0万元，占0%。（图2：收入决算结构图）</w:t>
      </w:r>
      <w:bookmarkStart w:id="54" w:name="_Toc15396605"/>
      <w:bookmarkStart w:id="55" w:name="_Toc15377207"/>
    </w:p>
    <w:p>
      <w:pPr>
        <w:pStyle w:val="2"/>
        <w:spacing w:before="93"/>
        <w:jc w:val="center"/>
        <w:rPr>
          <w:rFonts w:hint="default" w:ascii="Times New Roman" w:hAnsi="Times New Roman" w:cs="Times New Roman"/>
          <w:b w:val="0"/>
          <w:bCs w:val="0"/>
        </w:rPr>
      </w:pPr>
      <w:r>
        <w:rPr>
          <w:rFonts w:hint="default" w:ascii="Times New Roman" w:hAnsi="Times New Roman" w:cs="Times New Roman"/>
          <w:b w:val="0"/>
          <w:bCs w:val="0"/>
        </w:rPr>
        <w:drawing>
          <wp:inline distT="0" distB="0" distL="0" distR="0">
            <wp:extent cx="4343400" cy="2714625"/>
            <wp:effectExtent l="19050" t="0" r="19050" b="0"/>
            <wp:docPr id="6" name="图表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pStyle w:val="4"/>
        <w:pageBreakBefore w:val="0"/>
        <w:widowControl w:val="0"/>
        <w:kinsoku/>
        <w:wordWrap/>
        <w:overflowPunct/>
        <w:topLinePunct w:val="0"/>
        <w:autoSpaceDE/>
        <w:autoSpaceDN/>
        <w:bidi w:val="0"/>
        <w:spacing w:before="0" w:after="0" w:line="578" w:lineRule="exact"/>
        <w:ind w:firstLine="640" w:firstLineChars="200"/>
        <w:textAlignment w:val="auto"/>
        <w:rPr>
          <w:rFonts w:hint="default" w:ascii="Times New Roman" w:hAnsi="Times New Roman" w:eastAsia="仿宋_GB2312" w:cs="Times New Roman"/>
          <w:b w:val="0"/>
          <w:bCs w:val="0"/>
          <w:sz w:val="32"/>
          <w:szCs w:val="32"/>
        </w:rPr>
      </w:pPr>
      <w:bookmarkStart w:id="56" w:name="_Toc149227136"/>
      <w:r>
        <w:rPr>
          <w:rFonts w:hint="default" w:ascii="Times New Roman" w:hAnsi="Times New Roman" w:eastAsia="仿宋_GB2312" w:cs="Times New Roman"/>
          <w:b w:val="0"/>
          <w:bCs w:val="0"/>
          <w:sz w:val="32"/>
          <w:szCs w:val="32"/>
        </w:rPr>
        <w:t>三、支出决算情况说明</w:t>
      </w:r>
      <w:bookmarkEnd w:id="54"/>
      <w:bookmarkEnd w:id="55"/>
      <w:bookmarkEnd w:id="56"/>
    </w:p>
    <w:p>
      <w:pPr>
        <w:pStyle w:val="8"/>
        <w:pageBreakBefore w:val="0"/>
        <w:widowControl w:val="0"/>
        <w:kinsoku/>
        <w:wordWrap/>
        <w:overflowPunct/>
        <w:topLinePunct w:val="0"/>
        <w:autoSpaceDE/>
        <w:autoSpaceDN/>
        <w:bidi w:val="0"/>
        <w:adjustRightInd w:val="0"/>
        <w:snapToGrid w:val="0"/>
        <w:spacing w:after="0" w:line="578" w:lineRule="exact"/>
        <w:ind w:left="0" w:leftChars="0"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2022年本年支出合计9121.43万元，其中：基本支出2961.70万元，占32.47%；项目支出6159.73万元，占67.53%；上缴上级支出0万元，占0%；经营支出0万元，占0%；对附属单位补助支出0万元，占0%。（图3：支出决算结构图）</w:t>
      </w:r>
    </w:p>
    <w:p>
      <w:pPr>
        <w:pStyle w:val="2"/>
        <w:spacing w:before="93"/>
        <w:jc w:val="center"/>
        <w:rPr>
          <w:rFonts w:hint="default" w:ascii="Times New Roman" w:hAnsi="Times New Roman" w:cs="Times New Roman"/>
          <w:b w:val="0"/>
          <w:bCs w:val="0"/>
        </w:rPr>
      </w:pPr>
      <w:r>
        <w:rPr>
          <w:rFonts w:hint="default" w:ascii="Times New Roman" w:hAnsi="Times New Roman" w:cs="Times New Roman"/>
          <w:b w:val="0"/>
          <w:bCs w:val="0"/>
        </w:rPr>
        <w:drawing>
          <wp:inline distT="0" distB="0" distL="0" distR="0">
            <wp:extent cx="4572000" cy="2495550"/>
            <wp:effectExtent l="19050" t="0" r="19050" b="0"/>
            <wp:docPr id="11" name="图表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pPr>
        <w:pStyle w:val="4"/>
        <w:pageBreakBefore w:val="0"/>
        <w:widowControl w:val="0"/>
        <w:kinsoku/>
        <w:wordWrap/>
        <w:overflowPunct/>
        <w:topLinePunct w:val="0"/>
        <w:autoSpaceDE/>
        <w:autoSpaceDN/>
        <w:bidi w:val="0"/>
        <w:adjustRightInd/>
        <w:snapToGrid/>
        <w:spacing w:before="0" w:after="0" w:line="578" w:lineRule="exact"/>
        <w:ind w:firstLine="640" w:firstLineChars="200"/>
        <w:textAlignment w:val="auto"/>
        <w:rPr>
          <w:rFonts w:hint="default" w:ascii="Times New Roman" w:hAnsi="Times New Roman" w:eastAsia="仿宋_GB2312" w:cs="Times New Roman"/>
          <w:b w:val="0"/>
          <w:bCs w:val="0"/>
          <w:sz w:val="32"/>
          <w:szCs w:val="32"/>
        </w:rPr>
      </w:pPr>
      <w:bookmarkStart w:id="57" w:name="_Toc15377208"/>
      <w:bookmarkStart w:id="58" w:name="_Toc15396606"/>
      <w:bookmarkStart w:id="59" w:name="_Toc149227137"/>
      <w:r>
        <w:rPr>
          <w:rFonts w:hint="default" w:ascii="Times New Roman" w:hAnsi="Times New Roman" w:eastAsia="仿宋_GB2312" w:cs="Times New Roman"/>
          <w:b w:val="0"/>
          <w:bCs w:val="0"/>
          <w:sz w:val="32"/>
          <w:szCs w:val="32"/>
        </w:rPr>
        <w:t>四、财政拨款收入支出决算总体情况说明</w:t>
      </w:r>
      <w:bookmarkEnd w:id="57"/>
      <w:bookmarkEnd w:id="58"/>
      <w:bookmarkEnd w:id="59"/>
    </w:p>
    <w:p>
      <w:pPr>
        <w:pageBreakBefore w:val="0"/>
        <w:widowControl w:val="0"/>
        <w:kinsoku/>
        <w:wordWrap/>
        <w:overflowPunct/>
        <w:topLinePunct w:val="0"/>
        <w:autoSpaceDE/>
        <w:autoSpaceDN/>
        <w:bidi w:val="0"/>
        <w:adjustRightInd/>
        <w:snapToGrid/>
        <w:spacing w:line="578" w:lineRule="exact"/>
        <w:ind w:firstLine="64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2022年财政拨款收、支总计9121.43万元。与2021年相比，财政拨款收、支总计各减少1242.28万元，下降11.99%。主要变动原因是人员经费及项目支出。（图4：财政拨款收、支决算总计变动情况）</w:t>
      </w:r>
    </w:p>
    <w:p>
      <w:pPr>
        <w:pStyle w:val="2"/>
        <w:spacing w:before="93"/>
        <w:jc w:val="center"/>
        <w:rPr>
          <w:rFonts w:hint="default" w:ascii="Times New Roman" w:hAnsi="Times New Roman" w:cs="Times New Roman"/>
          <w:b w:val="0"/>
          <w:bCs w:val="0"/>
        </w:rPr>
      </w:pPr>
      <w:r>
        <w:rPr>
          <w:rFonts w:hint="default" w:ascii="Times New Roman" w:hAnsi="Times New Roman" w:cs="Times New Roman"/>
          <w:b w:val="0"/>
          <w:bCs w:val="0"/>
        </w:rPr>
        <w:drawing>
          <wp:inline distT="0" distB="0" distL="0" distR="0">
            <wp:extent cx="4572000" cy="2743200"/>
            <wp:effectExtent l="19050" t="0" r="19050" b="0"/>
            <wp:docPr id="13" name="图表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pPr>
        <w:pStyle w:val="4"/>
        <w:pageBreakBefore w:val="0"/>
        <w:widowControl w:val="0"/>
        <w:kinsoku/>
        <w:wordWrap/>
        <w:overflowPunct/>
        <w:topLinePunct w:val="0"/>
        <w:autoSpaceDE/>
        <w:autoSpaceDN/>
        <w:bidi w:val="0"/>
        <w:adjustRightInd/>
        <w:snapToGrid/>
        <w:spacing w:before="0" w:after="0" w:line="578" w:lineRule="exact"/>
        <w:ind w:firstLine="640" w:firstLineChars="200"/>
        <w:textAlignment w:val="auto"/>
        <w:rPr>
          <w:rFonts w:hint="default" w:ascii="Times New Roman" w:hAnsi="Times New Roman" w:eastAsia="仿宋_GB2312" w:cs="Times New Roman"/>
          <w:b w:val="0"/>
          <w:bCs w:val="0"/>
          <w:sz w:val="32"/>
          <w:szCs w:val="32"/>
        </w:rPr>
      </w:pPr>
      <w:bookmarkStart w:id="60" w:name="_Toc15396607"/>
      <w:bookmarkStart w:id="61" w:name="_Toc15377209"/>
      <w:bookmarkStart w:id="62" w:name="_Toc149227138"/>
      <w:r>
        <w:rPr>
          <w:rFonts w:hint="default" w:ascii="Times New Roman" w:hAnsi="Times New Roman" w:eastAsia="仿宋_GB2312" w:cs="Times New Roman"/>
          <w:b w:val="0"/>
          <w:bCs w:val="0"/>
          <w:sz w:val="32"/>
          <w:szCs w:val="32"/>
        </w:rPr>
        <w:t>五、一般公共预算财政拨款支出决算情况说明</w:t>
      </w:r>
      <w:bookmarkEnd w:id="60"/>
      <w:bookmarkEnd w:id="61"/>
      <w:bookmarkEnd w:id="62"/>
    </w:p>
    <w:p>
      <w:pPr>
        <w:pageBreakBefore w:val="0"/>
        <w:widowControl w:val="0"/>
        <w:kinsoku/>
        <w:wordWrap/>
        <w:overflowPunct/>
        <w:topLinePunct w:val="0"/>
        <w:autoSpaceDE/>
        <w:autoSpaceDN/>
        <w:bidi w:val="0"/>
        <w:adjustRightInd/>
        <w:snapToGrid/>
        <w:spacing w:line="578" w:lineRule="exact"/>
        <w:ind w:firstLine="640" w:firstLineChars="200"/>
        <w:textAlignment w:val="auto"/>
        <w:outlineLvl w:val="2"/>
        <w:rPr>
          <w:rFonts w:hint="default" w:ascii="Times New Roman" w:hAnsi="Times New Roman" w:eastAsia="仿宋_GB2312" w:cs="Times New Roman"/>
          <w:b w:val="0"/>
          <w:bCs w:val="0"/>
          <w:sz w:val="32"/>
          <w:szCs w:val="32"/>
        </w:rPr>
      </w:pPr>
      <w:bookmarkStart w:id="63" w:name="_Toc149227139"/>
      <w:bookmarkStart w:id="64" w:name="_Toc15377210"/>
      <w:r>
        <w:rPr>
          <w:rFonts w:hint="default" w:ascii="Times New Roman" w:hAnsi="Times New Roman" w:eastAsia="仿宋_GB2312" w:cs="Times New Roman"/>
          <w:b w:val="0"/>
          <w:bCs w:val="0"/>
          <w:sz w:val="32"/>
          <w:szCs w:val="32"/>
        </w:rPr>
        <w:t>（一）一般公共预算财政拨款支出决算总体情况</w:t>
      </w:r>
      <w:bookmarkEnd w:id="63"/>
      <w:bookmarkEnd w:id="64"/>
    </w:p>
    <w:p>
      <w:pPr>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2022年一般公共预算财政拨款支出8073.88万元，占本年支出合计的88.52%。与2021年相比，一般公共预算财政拨款支出减少830.30万元，减少9.32%。主要变动原因是本年一般公共预算财政拨款项目支出减少。（图5：一般公共预算财政拨款支出决算变动情况）</w:t>
      </w:r>
    </w:p>
    <w:p>
      <w:pPr>
        <w:pStyle w:val="2"/>
        <w:spacing w:before="93"/>
        <w:jc w:val="center"/>
        <w:rPr>
          <w:rFonts w:hint="default" w:ascii="Times New Roman" w:hAnsi="Times New Roman" w:cs="Times New Roman"/>
          <w:b w:val="0"/>
          <w:bCs w:val="0"/>
        </w:rPr>
      </w:pPr>
      <w:r>
        <w:rPr>
          <w:rFonts w:hint="default" w:ascii="Times New Roman" w:hAnsi="Times New Roman" w:cs="Times New Roman"/>
          <w:b w:val="0"/>
          <w:bCs w:val="0"/>
        </w:rPr>
        <w:drawing>
          <wp:inline distT="0" distB="0" distL="0" distR="0">
            <wp:extent cx="4572000" cy="2743200"/>
            <wp:effectExtent l="19050" t="0" r="19050" b="0"/>
            <wp:docPr id="15" name="图表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pPr>
        <w:keepNext w:val="0"/>
        <w:keepLines w:val="0"/>
        <w:pageBreakBefore w:val="0"/>
        <w:widowControl w:val="0"/>
        <w:kinsoku/>
        <w:wordWrap/>
        <w:overflowPunct/>
        <w:topLinePunct w:val="0"/>
        <w:autoSpaceDE/>
        <w:autoSpaceDN/>
        <w:bidi w:val="0"/>
        <w:spacing w:line="578" w:lineRule="exact"/>
        <w:ind w:firstLine="640" w:firstLineChars="200"/>
        <w:textAlignment w:val="auto"/>
        <w:outlineLvl w:val="2"/>
        <w:rPr>
          <w:rFonts w:hint="default" w:ascii="Times New Roman" w:hAnsi="Times New Roman" w:eastAsia="仿宋_GB2312" w:cs="Times New Roman"/>
          <w:b w:val="0"/>
          <w:bCs w:val="0"/>
          <w:sz w:val="32"/>
          <w:szCs w:val="32"/>
        </w:rPr>
      </w:pPr>
      <w:bookmarkStart w:id="65" w:name="_Toc15377211"/>
      <w:bookmarkStart w:id="66" w:name="_Toc149227140"/>
      <w:r>
        <w:rPr>
          <w:rFonts w:hint="default" w:ascii="Times New Roman" w:hAnsi="Times New Roman" w:eastAsia="仿宋_GB2312" w:cs="Times New Roman"/>
          <w:b w:val="0"/>
          <w:bCs w:val="0"/>
          <w:sz w:val="32"/>
          <w:szCs w:val="32"/>
        </w:rPr>
        <w:t>（二）一般公共预算财政拨款支出决算结构情况</w:t>
      </w:r>
      <w:bookmarkEnd w:id="65"/>
      <w:bookmarkEnd w:id="66"/>
    </w:p>
    <w:p>
      <w:pPr>
        <w:keepNext w:val="0"/>
        <w:keepLines w:val="0"/>
        <w:pageBreakBefore w:val="0"/>
        <w:widowControl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2022年一般公共预算财政拨款支出8073.88万元，主要用于以下方面:社会保障和就业支出131.57 万元，占1.63%；卫生健康支出37.64万元，占0.47%；农林水支出4350.92万元, 占53.89%；自然资源海洋气象等支出3093.87万元, 占38.32%；灾害防治及应急管理支出459.88万元, 占5.70%。（图6：一般公共预算财政拨款支出决算结构）</w:t>
      </w:r>
    </w:p>
    <w:p>
      <w:pPr>
        <w:pStyle w:val="2"/>
        <w:jc w:val="center"/>
        <w:rPr>
          <w:rFonts w:hint="default" w:ascii="Times New Roman" w:hAnsi="Times New Roman" w:cs="Times New Roman"/>
          <w:b w:val="0"/>
          <w:bCs w:val="0"/>
        </w:rPr>
      </w:pPr>
      <w:r>
        <w:rPr>
          <w:rFonts w:hint="default" w:ascii="Times New Roman" w:hAnsi="Times New Roman" w:cs="Times New Roman"/>
          <w:b w:val="0"/>
          <w:bCs w:val="0"/>
        </w:rPr>
        <w:drawing>
          <wp:inline distT="0" distB="0" distL="0" distR="0">
            <wp:extent cx="4349750" cy="2622550"/>
            <wp:effectExtent l="4445" t="5080" r="8255" b="20320"/>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pPr>
        <w:pageBreakBefore w:val="0"/>
        <w:widowControl w:val="0"/>
        <w:kinsoku/>
        <w:wordWrap/>
        <w:overflowPunct/>
        <w:topLinePunct w:val="0"/>
        <w:autoSpaceDE/>
        <w:autoSpaceDN/>
        <w:bidi w:val="0"/>
        <w:adjustRightInd w:val="0"/>
        <w:snapToGrid w:val="0"/>
        <w:spacing w:line="578" w:lineRule="exact"/>
        <w:ind w:firstLine="640" w:firstLineChars="200"/>
        <w:textAlignment w:val="auto"/>
        <w:outlineLvl w:val="2"/>
        <w:rPr>
          <w:rFonts w:hint="default" w:ascii="Times New Roman" w:hAnsi="Times New Roman" w:eastAsia="仿宋_GB2312" w:cs="Times New Roman"/>
          <w:b w:val="0"/>
          <w:bCs w:val="0"/>
          <w:sz w:val="32"/>
          <w:szCs w:val="32"/>
        </w:rPr>
      </w:pPr>
      <w:bookmarkStart w:id="67" w:name="_Toc149227141"/>
      <w:bookmarkStart w:id="68" w:name="_Toc15377212"/>
      <w:r>
        <w:rPr>
          <w:rFonts w:hint="default" w:ascii="Times New Roman" w:hAnsi="Times New Roman" w:eastAsia="仿宋_GB2312" w:cs="Times New Roman"/>
          <w:b w:val="0"/>
          <w:bCs w:val="0"/>
          <w:sz w:val="32"/>
          <w:szCs w:val="32"/>
        </w:rPr>
        <w:t>（三）一般公共预算财政拨款支出决算具体情况</w:t>
      </w:r>
      <w:bookmarkEnd w:id="67"/>
      <w:bookmarkEnd w:id="68"/>
    </w:p>
    <w:p>
      <w:pPr>
        <w:pageBreakBefore w:val="0"/>
        <w:widowControl w:val="0"/>
        <w:kinsoku/>
        <w:wordWrap/>
        <w:overflowPunct/>
        <w:topLinePunct w:val="0"/>
        <w:autoSpaceDE/>
        <w:autoSpaceDN/>
        <w:bidi w:val="0"/>
        <w:adjustRightInd w:val="0"/>
        <w:snapToGrid w:val="0"/>
        <w:spacing w:line="578" w:lineRule="exact"/>
        <w:ind w:firstLine="640" w:firstLineChars="200"/>
        <w:textAlignment w:val="auto"/>
        <w:rPr>
          <w:rStyle w:val="21"/>
          <w:rFonts w:hint="default" w:ascii="Times New Roman" w:hAnsi="Times New Roman" w:eastAsia="仿宋_GB2312" w:cs="Times New Roman"/>
          <w:b w:val="0"/>
          <w:bCs w:val="0"/>
          <w:color w:val="000000"/>
          <w:sz w:val="32"/>
          <w:szCs w:val="32"/>
        </w:rPr>
      </w:pPr>
      <w:bookmarkStart w:id="69" w:name="_Toc15377213"/>
      <w:bookmarkStart w:id="70" w:name="_Toc15377444"/>
      <w:bookmarkStart w:id="71" w:name="_Toc15378460"/>
      <w:r>
        <w:rPr>
          <w:rStyle w:val="21"/>
          <w:rFonts w:hint="default" w:ascii="Times New Roman" w:hAnsi="Times New Roman" w:eastAsia="仿宋_GB2312" w:cs="Times New Roman"/>
          <w:b w:val="0"/>
          <w:bCs w:val="0"/>
          <w:color w:val="000000"/>
          <w:sz w:val="32"/>
          <w:szCs w:val="32"/>
        </w:rPr>
        <w:t>2022年一般公共预算支出决算数为8073.88万元，完成预算100%。其中：</w:t>
      </w:r>
      <w:bookmarkEnd w:id="69"/>
      <w:bookmarkEnd w:id="70"/>
      <w:bookmarkEnd w:id="71"/>
    </w:p>
    <w:p>
      <w:pPr>
        <w:pageBreakBefore w:val="0"/>
        <w:widowControl w:val="0"/>
        <w:kinsoku/>
        <w:wordWrap/>
        <w:overflowPunct/>
        <w:topLinePunct w:val="0"/>
        <w:autoSpaceDE/>
        <w:autoSpaceDN/>
        <w:bidi w:val="0"/>
        <w:adjustRightInd w:val="0"/>
        <w:snapToGrid w:val="0"/>
        <w:spacing w:line="578" w:lineRule="exact"/>
        <w:ind w:firstLine="640" w:firstLineChars="200"/>
        <w:textAlignment w:val="auto"/>
        <w:rPr>
          <w:rStyle w:val="21"/>
          <w:rFonts w:hint="default" w:ascii="Times New Roman" w:hAnsi="Times New Roman" w:eastAsia="仿宋_GB2312" w:cs="Times New Roman"/>
          <w:b w:val="0"/>
          <w:bCs w:val="0"/>
          <w:color w:val="000000"/>
          <w:sz w:val="32"/>
          <w:szCs w:val="32"/>
        </w:rPr>
      </w:pPr>
      <w:r>
        <w:rPr>
          <w:rStyle w:val="21"/>
          <w:rFonts w:hint="default" w:ascii="Times New Roman" w:hAnsi="Times New Roman" w:eastAsia="仿宋_GB2312" w:cs="Times New Roman"/>
          <w:b w:val="0"/>
          <w:bCs w:val="0"/>
          <w:color w:val="000000"/>
          <w:sz w:val="32"/>
          <w:szCs w:val="32"/>
        </w:rPr>
        <w:t>1.社会保障和就业: 支出决算为131.57万元，完成预算100%。具体情况如下：</w:t>
      </w:r>
    </w:p>
    <w:p>
      <w:pPr>
        <w:pageBreakBefore w:val="0"/>
        <w:widowControl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Style w:val="21"/>
          <w:rFonts w:hint="default" w:ascii="Times New Roman" w:hAnsi="Times New Roman" w:eastAsia="仿宋_GB2312" w:cs="Times New Roman"/>
          <w:b w:val="0"/>
          <w:bCs w:val="0"/>
          <w:color w:val="000000"/>
          <w:sz w:val="32"/>
          <w:szCs w:val="32"/>
        </w:rPr>
        <w:t>类款项2080505科目，机关事业单位基本养老保险缴费支出80.84万元，完成预算100%。类款项2080506科目，机关事业单位职业年金缴费支出25.84万元，完成预算100%。类款项2080599科目，其他行政事业单位养老支出24.88万元，完成预算100%。</w:t>
      </w:r>
    </w:p>
    <w:p>
      <w:pPr>
        <w:pageBreakBefore w:val="0"/>
        <w:widowControl w:val="0"/>
        <w:kinsoku/>
        <w:wordWrap/>
        <w:overflowPunct/>
        <w:topLinePunct w:val="0"/>
        <w:autoSpaceDE/>
        <w:autoSpaceDN/>
        <w:bidi w:val="0"/>
        <w:adjustRightInd w:val="0"/>
        <w:snapToGrid w:val="0"/>
        <w:spacing w:line="578" w:lineRule="exact"/>
        <w:ind w:firstLine="640" w:firstLineChars="200"/>
        <w:textAlignment w:val="auto"/>
        <w:rPr>
          <w:rStyle w:val="21"/>
          <w:rFonts w:hint="default" w:ascii="Times New Roman" w:hAnsi="Times New Roman" w:eastAsia="仿宋_GB2312" w:cs="Times New Roman"/>
          <w:b w:val="0"/>
          <w:bCs w:val="0"/>
          <w:color w:val="000000"/>
          <w:sz w:val="32"/>
          <w:szCs w:val="32"/>
        </w:rPr>
      </w:pPr>
      <w:r>
        <w:rPr>
          <w:rStyle w:val="21"/>
          <w:rFonts w:hint="default" w:ascii="Times New Roman" w:hAnsi="Times New Roman" w:eastAsia="仿宋_GB2312" w:cs="Times New Roman"/>
          <w:b w:val="0"/>
          <w:bCs w:val="0"/>
          <w:color w:val="000000"/>
          <w:sz w:val="32"/>
          <w:szCs w:val="32"/>
        </w:rPr>
        <w:t>2.</w:t>
      </w:r>
      <w:r>
        <w:rPr>
          <w:rFonts w:hint="default" w:ascii="Times New Roman" w:hAnsi="Times New Roman" w:eastAsia="仿宋_GB2312" w:cs="Times New Roman"/>
          <w:b w:val="0"/>
          <w:bCs w:val="0"/>
          <w:color w:val="000000"/>
          <w:sz w:val="32"/>
          <w:szCs w:val="32"/>
        </w:rPr>
        <w:t>卫生健康</w:t>
      </w:r>
      <w:r>
        <w:rPr>
          <w:rStyle w:val="21"/>
          <w:rFonts w:hint="default" w:ascii="Times New Roman" w:hAnsi="Times New Roman" w:eastAsia="仿宋_GB2312" w:cs="Times New Roman"/>
          <w:b w:val="0"/>
          <w:bCs w:val="0"/>
          <w:color w:val="000000"/>
          <w:sz w:val="32"/>
          <w:szCs w:val="32"/>
        </w:rPr>
        <w:t>:支出决算为37.64万元，完成预算100%。具体情况如下：</w:t>
      </w:r>
    </w:p>
    <w:p>
      <w:pPr>
        <w:pageBreakBefore w:val="0"/>
        <w:widowControl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Style w:val="21"/>
          <w:rFonts w:hint="default" w:ascii="Times New Roman" w:hAnsi="Times New Roman" w:eastAsia="仿宋_GB2312" w:cs="Times New Roman"/>
          <w:b w:val="0"/>
          <w:bCs w:val="0"/>
          <w:color w:val="000000"/>
          <w:sz w:val="32"/>
          <w:szCs w:val="32"/>
        </w:rPr>
        <w:t>类款项2101101科目，行政单位医疗支出19.63万元，完成预算100%。类款项2101102科目，事业单位医疗支出18.01万元，完成预算100%。</w:t>
      </w:r>
    </w:p>
    <w:p>
      <w:pPr>
        <w:pageBreakBefore w:val="0"/>
        <w:widowControl w:val="0"/>
        <w:kinsoku/>
        <w:wordWrap/>
        <w:overflowPunct/>
        <w:topLinePunct w:val="0"/>
        <w:autoSpaceDE/>
        <w:autoSpaceDN/>
        <w:bidi w:val="0"/>
        <w:adjustRightInd w:val="0"/>
        <w:snapToGrid w:val="0"/>
        <w:spacing w:line="578" w:lineRule="exact"/>
        <w:ind w:firstLine="640" w:firstLineChars="200"/>
        <w:textAlignment w:val="auto"/>
        <w:rPr>
          <w:rStyle w:val="21"/>
          <w:rFonts w:hint="default" w:ascii="Times New Roman" w:hAnsi="Times New Roman" w:eastAsia="仿宋_GB2312" w:cs="Times New Roman"/>
          <w:b w:val="0"/>
          <w:bCs w:val="0"/>
          <w:color w:val="000000"/>
          <w:sz w:val="32"/>
          <w:szCs w:val="32"/>
        </w:rPr>
      </w:pPr>
      <w:r>
        <w:rPr>
          <w:rStyle w:val="21"/>
          <w:rFonts w:hint="default" w:ascii="Times New Roman" w:hAnsi="Times New Roman" w:eastAsia="仿宋_GB2312" w:cs="Times New Roman"/>
          <w:b w:val="0"/>
          <w:bCs w:val="0"/>
          <w:color w:val="000000"/>
          <w:sz w:val="32"/>
          <w:szCs w:val="32"/>
        </w:rPr>
        <w:t>3. 农林水支出: 支出决算为4350.92万元，完成预算100%。具体情况如下：</w:t>
      </w:r>
    </w:p>
    <w:p>
      <w:pPr>
        <w:pageBreakBefore w:val="0"/>
        <w:widowControl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Style w:val="21"/>
          <w:rFonts w:hint="default" w:ascii="Times New Roman" w:hAnsi="Times New Roman" w:eastAsia="仿宋_GB2312" w:cs="Times New Roman"/>
          <w:b w:val="0"/>
          <w:bCs w:val="0"/>
          <w:color w:val="000000"/>
          <w:sz w:val="32"/>
          <w:szCs w:val="32"/>
        </w:rPr>
        <w:t>类款项2130119科目，防灾救灾支出13.08万元，完成预算100%。类款项2130153科目，农田建设支出4048.24万元，完成预算100%。类款项2130205科目，森林资源培育支出7.15万元，完成预算100%。类款项2130207科目类款项2130207科目，森林资源管理支出147.06万元，完成预算100%。类款项2130209科目，森林生态效益补偿支出18.37万元，完成预算100%。类款项2130211科目，动植物保护支出2万元，完成预算100%。类款项2130226科目，林区公共支出支出3.62万元，完成预算100%。类款项2130234科目，林业草原防灾减灾支出11.4万元，完成预算100%。类款项2130599科目，其他巩固脱贫衔接乡村振兴支出100万元，完成预算100%。</w:t>
      </w:r>
    </w:p>
    <w:p>
      <w:pPr>
        <w:pageBreakBefore w:val="0"/>
        <w:widowControl w:val="0"/>
        <w:kinsoku/>
        <w:wordWrap/>
        <w:overflowPunct/>
        <w:topLinePunct w:val="0"/>
        <w:autoSpaceDE/>
        <w:autoSpaceDN/>
        <w:bidi w:val="0"/>
        <w:adjustRightInd w:val="0"/>
        <w:snapToGrid w:val="0"/>
        <w:spacing w:line="578" w:lineRule="exact"/>
        <w:ind w:firstLine="627" w:firstLineChars="196"/>
        <w:textAlignment w:val="auto"/>
        <w:rPr>
          <w:rStyle w:val="21"/>
          <w:rFonts w:hint="default" w:ascii="Times New Roman" w:hAnsi="Times New Roman" w:eastAsia="仿宋_GB2312" w:cs="Times New Roman"/>
          <w:b w:val="0"/>
          <w:bCs w:val="0"/>
          <w:color w:val="000000"/>
          <w:sz w:val="32"/>
          <w:szCs w:val="32"/>
        </w:rPr>
      </w:pPr>
      <w:r>
        <w:rPr>
          <w:rStyle w:val="21"/>
          <w:rFonts w:hint="default" w:ascii="Times New Roman" w:hAnsi="Times New Roman" w:eastAsia="仿宋_GB2312" w:cs="Times New Roman"/>
          <w:b w:val="0"/>
          <w:bCs w:val="0"/>
          <w:color w:val="000000"/>
          <w:sz w:val="32"/>
          <w:szCs w:val="32"/>
        </w:rPr>
        <w:t>4. 自然资源海洋气象等支出:支出决算为3093.87万元，完成预算100%。具体情况如下：</w:t>
      </w:r>
    </w:p>
    <w:p>
      <w:pPr>
        <w:pageBreakBefore w:val="0"/>
        <w:widowControl w:val="0"/>
        <w:kinsoku/>
        <w:wordWrap/>
        <w:overflowPunct/>
        <w:topLinePunct w:val="0"/>
        <w:autoSpaceDE/>
        <w:autoSpaceDN/>
        <w:bidi w:val="0"/>
        <w:adjustRightInd w:val="0"/>
        <w:snapToGrid w:val="0"/>
        <w:spacing w:line="578" w:lineRule="exact"/>
        <w:ind w:firstLine="627" w:firstLineChars="196"/>
        <w:textAlignment w:val="auto"/>
        <w:rPr>
          <w:rFonts w:hint="default" w:ascii="Times New Roman" w:hAnsi="Times New Roman" w:eastAsia="仿宋_GB2312" w:cs="Times New Roman"/>
          <w:b w:val="0"/>
          <w:bCs w:val="0"/>
          <w:sz w:val="32"/>
          <w:szCs w:val="32"/>
        </w:rPr>
      </w:pPr>
      <w:r>
        <w:rPr>
          <w:rStyle w:val="21"/>
          <w:rFonts w:hint="default" w:ascii="Times New Roman" w:hAnsi="Times New Roman" w:eastAsia="仿宋_GB2312" w:cs="Times New Roman"/>
          <w:b w:val="0"/>
          <w:bCs w:val="0"/>
          <w:color w:val="000000"/>
          <w:sz w:val="32"/>
          <w:szCs w:val="32"/>
        </w:rPr>
        <w:t>类款项2200101科目，行政运行支出1391.58万元，完成预算100%。类款项2200102科目，一般行政管理事务支出7.34万元，完成预算100%。类款项2200104科目，自然资源规划及管理支出8.49万元，完成预算100%。类款项2200106科目，自然资源利用与保护支出16.37万元，完成预算100%。类款项2200108科目，自然资源行业业务管理支出10.95万元，完成预算100%。类款项2200109科目，自然资源调查与确权登记支出4.88万元，完成预算100%。类款项2200113科目，地质矿产资源与环境调查支出4.4万元，完成预算100%。类款项2200150科目，事业运行支出1400.91万元，完成预算100%。类款项2200199科目，其他自然资源事务支出支出248.95万元，完成预算100%。</w:t>
      </w:r>
    </w:p>
    <w:p>
      <w:pPr>
        <w:pageBreakBefore w:val="0"/>
        <w:widowControl w:val="0"/>
        <w:kinsoku/>
        <w:wordWrap/>
        <w:overflowPunct/>
        <w:topLinePunct w:val="0"/>
        <w:autoSpaceDE/>
        <w:autoSpaceDN/>
        <w:bidi w:val="0"/>
        <w:adjustRightInd w:val="0"/>
        <w:snapToGrid w:val="0"/>
        <w:spacing w:line="578" w:lineRule="exact"/>
        <w:ind w:firstLine="800" w:firstLineChars="250"/>
        <w:textAlignment w:val="auto"/>
        <w:rPr>
          <w:rStyle w:val="21"/>
          <w:rFonts w:hint="default" w:ascii="Times New Roman" w:hAnsi="Times New Roman" w:eastAsia="仿宋_GB2312" w:cs="Times New Roman"/>
          <w:b w:val="0"/>
          <w:bCs w:val="0"/>
          <w:color w:val="000000"/>
          <w:sz w:val="32"/>
          <w:szCs w:val="32"/>
        </w:rPr>
      </w:pPr>
      <w:r>
        <w:rPr>
          <w:rStyle w:val="21"/>
          <w:rFonts w:hint="default" w:ascii="Times New Roman" w:hAnsi="Times New Roman" w:eastAsia="仿宋_GB2312" w:cs="Times New Roman"/>
          <w:b w:val="0"/>
          <w:bCs w:val="0"/>
          <w:color w:val="000000"/>
          <w:sz w:val="32"/>
          <w:szCs w:val="32"/>
        </w:rPr>
        <w:t>5. 灾害防治及应急管理支出: 支出决算为459.88万元，完成预算95.81%。具体情况如下：</w:t>
      </w:r>
    </w:p>
    <w:p>
      <w:pPr>
        <w:pageBreakBefore w:val="0"/>
        <w:widowControl w:val="0"/>
        <w:kinsoku/>
        <w:wordWrap/>
        <w:overflowPunct/>
        <w:topLinePunct w:val="0"/>
        <w:autoSpaceDE/>
        <w:autoSpaceDN/>
        <w:bidi w:val="0"/>
        <w:adjustRightInd w:val="0"/>
        <w:snapToGrid w:val="0"/>
        <w:spacing w:line="578" w:lineRule="exact"/>
        <w:ind w:firstLine="640" w:firstLineChars="200"/>
        <w:textAlignment w:val="auto"/>
        <w:rPr>
          <w:rStyle w:val="21"/>
          <w:rFonts w:hint="default" w:ascii="Times New Roman" w:hAnsi="Times New Roman" w:eastAsia="仿宋_GB2312" w:cs="Times New Roman"/>
          <w:b w:val="0"/>
          <w:bCs w:val="0"/>
          <w:color w:val="000000"/>
          <w:sz w:val="32"/>
          <w:szCs w:val="32"/>
        </w:rPr>
      </w:pPr>
      <w:r>
        <w:rPr>
          <w:rStyle w:val="21"/>
          <w:rFonts w:hint="default" w:ascii="Times New Roman" w:hAnsi="Times New Roman" w:eastAsia="仿宋_GB2312" w:cs="Times New Roman"/>
          <w:b w:val="0"/>
          <w:bCs w:val="0"/>
          <w:color w:val="000000"/>
          <w:sz w:val="32"/>
          <w:szCs w:val="32"/>
        </w:rPr>
        <w:t>类款项2240601科目，地质灾害防治支出410.45万元，完成预算100%。类款项2240799科目，其他自然灾害救灾及恢复重建支出49.43万元，完成预算100%。</w:t>
      </w:r>
    </w:p>
    <w:p>
      <w:pPr>
        <w:pStyle w:val="4"/>
        <w:pageBreakBefore w:val="0"/>
        <w:widowControl w:val="0"/>
        <w:kinsoku/>
        <w:wordWrap/>
        <w:overflowPunct/>
        <w:topLinePunct w:val="0"/>
        <w:autoSpaceDE/>
        <w:autoSpaceDN/>
        <w:bidi w:val="0"/>
        <w:spacing w:before="0" w:after="0" w:line="578" w:lineRule="exact"/>
        <w:ind w:firstLine="640" w:firstLineChars="200"/>
        <w:textAlignment w:val="auto"/>
        <w:rPr>
          <w:rFonts w:hint="default" w:ascii="Times New Roman" w:hAnsi="Times New Roman" w:eastAsia="仿宋_GB2312" w:cs="Times New Roman"/>
          <w:b w:val="0"/>
          <w:bCs w:val="0"/>
          <w:sz w:val="32"/>
          <w:szCs w:val="32"/>
        </w:rPr>
      </w:pPr>
      <w:bookmarkStart w:id="72" w:name="_Toc15396608"/>
      <w:bookmarkStart w:id="73" w:name="_Toc15377214"/>
      <w:bookmarkStart w:id="74" w:name="_Toc149227142"/>
      <w:r>
        <w:rPr>
          <w:rFonts w:hint="default" w:ascii="Times New Roman" w:hAnsi="Times New Roman" w:eastAsia="仿宋_GB2312" w:cs="Times New Roman"/>
          <w:b w:val="0"/>
          <w:bCs w:val="0"/>
          <w:sz w:val="32"/>
          <w:szCs w:val="32"/>
        </w:rPr>
        <w:t>六、一般公共预算财政拨款基本支出决算情况说明</w:t>
      </w:r>
      <w:bookmarkEnd w:id="72"/>
      <w:bookmarkEnd w:id="73"/>
      <w:bookmarkEnd w:id="74"/>
      <w:r>
        <w:rPr>
          <w:rFonts w:hint="default" w:ascii="Times New Roman" w:hAnsi="Times New Roman" w:eastAsia="仿宋_GB2312" w:cs="Times New Roman"/>
          <w:b w:val="0"/>
          <w:bCs w:val="0"/>
          <w:sz w:val="32"/>
          <w:szCs w:val="32"/>
        </w:rPr>
        <w:tab/>
      </w:r>
    </w:p>
    <w:p>
      <w:pPr>
        <w:pageBreakBefore w:val="0"/>
        <w:widowControl w:val="0"/>
        <w:kinsoku/>
        <w:wordWrap/>
        <w:overflowPunct/>
        <w:topLinePunct w:val="0"/>
        <w:autoSpaceDE/>
        <w:autoSpaceDN/>
        <w:bidi w:val="0"/>
        <w:spacing w:line="578" w:lineRule="exact"/>
        <w:ind w:firstLine="645"/>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2022年一般公共预算财政拨款基本支出2961.70万元，其中：</w:t>
      </w:r>
    </w:p>
    <w:p>
      <w:pPr>
        <w:pageBreakBefore w:val="0"/>
        <w:widowControl w:val="0"/>
        <w:kinsoku/>
        <w:wordWrap/>
        <w:overflowPunct/>
        <w:topLinePunct w:val="0"/>
        <w:autoSpaceDE/>
        <w:autoSpaceDN/>
        <w:bidi w:val="0"/>
        <w:spacing w:line="578" w:lineRule="exact"/>
        <w:ind w:firstLine="645"/>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rPr>
        <w:t>人员经费2696.12万元，主要包括：基本工资1001.95万元、津贴补贴893.51万元、奖金15.67万元、绩效工资516.66万元、机关事业单位基本养老保险缴费80.84万元、职业年金缴费25.84万元、职工基本医疗保险缴费37.64万元、其他社会保障缴费19.99万元、其他工资福利支出55.49万元、抚恤金16.18万元、生活补助7.3万元、奖励金0.15万元、其他对个人和家庭的补助支出24.88万元。</w:t>
      </w:r>
    </w:p>
    <w:p>
      <w:pPr>
        <w:pageBreakBefore w:val="0"/>
        <w:widowControl w:val="0"/>
        <w:kinsoku/>
        <w:wordWrap/>
        <w:overflowPunct/>
        <w:topLinePunct w:val="0"/>
        <w:autoSpaceDE/>
        <w:autoSpaceDN/>
        <w:bidi w:val="0"/>
        <w:spacing w:line="578" w:lineRule="exact"/>
        <w:ind w:firstLine="645"/>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公用经费265.57万元，主要包括：办公费21.42万元、印刷费13.18万元、咨询费2.4万元、手续费0.29万元、水费4.1万元、电费13.04万元、邮电费6.52万元、物业管理费9.34万元、差旅费49.55万元、维修（护）费7.09万元、租赁费1.58万元、会议费0.09万元、培训费1.23万元、公务接待费10万元、劳务费0.79万元、委托业务费3、工会经费10.03万元、福利费5.55万元、公务用车运行维护费18.5万元、其他交通费46.13万元、其他商品和服务支出23.61万元、办公设备购置18.14万元。</w:t>
      </w:r>
    </w:p>
    <w:p>
      <w:pPr>
        <w:pStyle w:val="4"/>
        <w:pageBreakBefore w:val="0"/>
        <w:widowControl w:val="0"/>
        <w:kinsoku/>
        <w:wordWrap/>
        <w:overflowPunct/>
        <w:topLinePunct w:val="0"/>
        <w:autoSpaceDE/>
        <w:autoSpaceDN/>
        <w:bidi w:val="0"/>
        <w:spacing w:before="0" w:after="0" w:line="578" w:lineRule="exact"/>
        <w:ind w:firstLine="640" w:firstLineChars="200"/>
        <w:textAlignment w:val="auto"/>
        <w:rPr>
          <w:rFonts w:hint="default" w:ascii="Times New Roman" w:hAnsi="Times New Roman" w:eastAsia="仿宋_GB2312" w:cs="Times New Roman"/>
          <w:b w:val="0"/>
          <w:bCs w:val="0"/>
          <w:sz w:val="32"/>
          <w:szCs w:val="32"/>
        </w:rPr>
      </w:pPr>
      <w:bookmarkStart w:id="75" w:name="_Toc15377215"/>
      <w:bookmarkStart w:id="76" w:name="_Toc149227143"/>
      <w:bookmarkStart w:id="77" w:name="_Toc15396609"/>
      <w:r>
        <w:rPr>
          <w:rFonts w:hint="default" w:ascii="Times New Roman" w:hAnsi="Times New Roman" w:eastAsia="仿宋_GB2312" w:cs="Times New Roman"/>
          <w:b w:val="0"/>
          <w:bCs w:val="0"/>
          <w:sz w:val="32"/>
          <w:szCs w:val="32"/>
        </w:rPr>
        <w:t>七、财政拨款“三公”经费支出决算情况说明</w:t>
      </w:r>
      <w:bookmarkEnd w:id="75"/>
      <w:bookmarkEnd w:id="76"/>
      <w:bookmarkEnd w:id="77"/>
    </w:p>
    <w:p>
      <w:pPr>
        <w:pageBreakBefore w:val="0"/>
        <w:widowControl w:val="0"/>
        <w:kinsoku/>
        <w:wordWrap/>
        <w:overflowPunct/>
        <w:topLinePunct w:val="0"/>
        <w:autoSpaceDE/>
        <w:autoSpaceDN/>
        <w:bidi w:val="0"/>
        <w:spacing w:line="578" w:lineRule="exact"/>
        <w:ind w:firstLine="640"/>
        <w:textAlignment w:val="auto"/>
        <w:outlineLvl w:val="2"/>
        <w:rPr>
          <w:rFonts w:hint="default" w:ascii="Times New Roman" w:hAnsi="Times New Roman" w:eastAsia="仿宋_GB2312" w:cs="Times New Roman"/>
          <w:b w:val="0"/>
          <w:bCs w:val="0"/>
          <w:sz w:val="32"/>
          <w:szCs w:val="32"/>
        </w:rPr>
      </w:pPr>
      <w:bookmarkStart w:id="78" w:name="_Toc149227144"/>
      <w:bookmarkStart w:id="79" w:name="_Toc15377216"/>
      <w:r>
        <w:rPr>
          <w:rFonts w:hint="default" w:ascii="Times New Roman" w:hAnsi="Times New Roman" w:eastAsia="仿宋_GB2312" w:cs="Times New Roman"/>
          <w:b w:val="0"/>
          <w:bCs w:val="0"/>
          <w:sz w:val="32"/>
          <w:szCs w:val="32"/>
        </w:rPr>
        <w:t>（一）“三公”经费财政拨款支出决算总体情况说明</w:t>
      </w:r>
      <w:bookmarkEnd w:id="78"/>
      <w:bookmarkEnd w:id="79"/>
    </w:p>
    <w:p>
      <w:pPr>
        <w:pageBreakBefore w:val="0"/>
        <w:widowControl w:val="0"/>
        <w:kinsoku/>
        <w:wordWrap/>
        <w:overflowPunct/>
        <w:topLinePunct w:val="0"/>
        <w:autoSpaceDE/>
        <w:autoSpaceDN/>
        <w:bidi w:val="0"/>
        <w:spacing w:line="578" w:lineRule="exact"/>
        <w:ind w:firstLine="64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2022年“三公”经费财政拨款支出决算为89.87万元，完成预算100%，较上年增加36.47万元，增长68.30%。增长的主要原因2021年购置公务用车1辆，2022年购置公务用车（主要用于执法巡查、森林防火、地质灾害应急）3辆。</w:t>
      </w:r>
    </w:p>
    <w:p>
      <w:pPr>
        <w:pageBreakBefore w:val="0"/>
        <w:widowControl w:val="0"/>
        <w:kinsoku/>
        <w:wordWrap/>
        <w:overflowPunct/>
        <w:topLinePunct w:val="0"/>
        <w:autoSpaceDE/>
        <w:autoSpaceDN/>
        <w:bidi w:val="0"/>
        <w:spacing w:line="578" w:lineRule="exact"/>
        <w:ind w:firstLine="640"/>
        <w:textAlignment w:val="auto"/>
        <w:outlineLvl w:val="2"/>
        <w:rPr>
          <w:rFonts w:hint="default" w:ascii="Times New Roman" w:hAnsi="Times New Roman" w:eastAsia="仿宋_GB2312" w:cs="Times New Roman"/>
          <w:b w:val="0"/>
          <w:bCs w:val="0"/>
          <w:sz w:val="32"/>
          <w:szCs w:val="32"/>
        </w:rPr>
      </w:pPr>
      <w:bookmarkStart w:id="80" w:name="_Toc149227145"/>
      <w:bookmarkStart w:id="81" w:name="_Toc15377217"/>
      <w:r>
        <w:rPr>
          <w:rFonts w:hint="default" w:ascii="Times New Roman" w:hAnsi="Times New Roman" w:eastAsia="仿宋_GB2312" w:cs="Times New Roman"/>
          <w:b w:val="0"/>
          <w:bCs w:val="0"/>
          <w:sz w:val="32"/>
          <w:szCs w:val="32"/>
        </w:rPr>
        <w:t>（二）“三公”经费财政拨款支出决算具体情况说明</w:t>
      </w:r>
      <w:bookmarkEnd w:id="80"/>
      <w:bookmarkEnd w:id="81"/>
    </w:p>
    <w:p>
      <w:pPr>
        <w:pageBreakBefore w:val="0"/>
        <w:widowControl w:val="0"/>
        <w:kinsoku/>
        <w:wordWrap/>
        <w:overflowPunct/>
        <w:topLinePunct w:val="0"/>
        <w:autoSpaceDE/>
        <w:autoSpaceDN/>
        <w:bidi w:val="0"/>
        <w:spacing w:line="578" w:lineRule="exact"/>
        <w:ind w:firstLine="64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2022年“三公”经费财政拨款支出决算中，因公出国（境）费支出决算0万元，占0%；公务用车购置及运行维护费支出决算79.87万元，占88.87%；公务接待费支出决算10万元，占11.13%。具体情况如下：</w:t>
      </w:r>
    </w:p>
    <w:p>
      <w:pPr>
        <w:pStyle w:val="2"/>
        <w:spacing w:before="93"/>
        <w:jc w:val="center"/>
        <w:rPr>
          <w:rFonts w:hint="default" w:ascii="Times New Roman" w:hAnsi="Times New Roman" w:cs="Times New Roman"/>
          <w:b w:val="0"/>
          <w:bCs w:val="0"/>
        </w:rPr>
      </w:pPr>
      <w:r>
        <w:rPr>
          <w:rFonts w:hint="default" w:ascii="Times New Roman" w:hAnsi="Times New Roman" w:cs="Times New Roman"/>
          <w:b w:val="0"/>
          <w:bCs w:val="0"/>
        </w:rPr>
        <w:drawing>
          <wp:inline distT="0" distB="0" distL="0" distR="0">
            <wp:extent cx="4572000" cy="2743200"/>
            <wp:effectExtent l="19050" t="0" r="19050" b="0"/>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pPr>
        <w:pageBreakBefore w:val="0"/>
        <w:kinsoku/>
        <w:wordWrap/>
        <w:overflowPunct/>
        <w:topLinePunct w:val="0"/>
        <w:autoSpaceDE/>
        <w:autoSpaceDN/>
        <w:bidi w:val="0"/>
        <w:spacing w:line="578" w:lineRule="exact"/>
        <w:ind w:firstLine="64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1.因公出国（境）经费支出0万元，完成预算0%。全年安排因公出国（境）团组0次，出国（境）0人。</w:t>
      </w:r>
    </w:p>
    <w:p>
      <w:pPr>
        <w:pageBreakBefore w:val="0"/>
        <w:kinsoku/>
        <w:wordWrap/>
        <w:overflowPunct/>
        <w:topLinePunct w:val="0"/>
        <w:autoSpaceDE/>
        <w:autoSpaceDN/>
        <w:bidi w:val="0"/>
        <w:spacing w:line="578" w:lineRule="exact"/>
        <w:ind w:firstLine="64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公务用车购置及运行维护费支出79.87万元,完成预算100%。公务用车购置及运行维护费支出决算比2021年增加36.47万元，增长84.03%。2021年购置公务用车1辆，2022年购置公务用车3辆，主要用于执法巡查、森林防火、地质灾害防治等应急用车。</w:t>
      </w:r>
    </w:p>
    <w:p>
      <w:pPr>
        <w:pageBreakBefore w:val="0"/>
        <w:kinsoku/>
        <w:wordWrap/>
        <w:overflowPunct/>
        <w:topLinePunct w:val="0"/>
        <w:autoSpaceDE/>
        <w:autoSpaceDN/>
        <w:bidi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其中：公务用车购置支出61.37万元。全年按规定更新购置公务用车3辆，其中：轿车2辆、越野车1辆。截至2022年12月底，单位共有公务用车12辆，其中：轿车2辆、越野车4辆、载客汽车4辆、其他车型2辆。</w:t>
      </w:r>
    </w:p>
    <w:p>
      <w:pPr>
        <w:pageBreakBefore w:val="0"/>
        <w:kinsoku/>
        <w:wordWrap/>
        <w:overflowPunct/>
        <w:topLinePunct w:val="0"/>
        <w:autoSpaceDE/>
        <w:autoSpaceDN/>
        <w:bidi w:val="0"/>
        <w:spacing w:line="578" w:lineRule="exact"/>
        <w:ind w:firstLine="64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公务用车运行维护费支出18.5万元。主要用于自然资源管理所需的公务用车燃料费、维修费、过路过桥费、保险费等支出。</w:t>
      </w:r>
    </w:p>
    <w:p>
      <w:pPr>
        <w:pageBreakBefore w:val="0"/>
        <w:kinsoku/>
        <w:wordWrap/>
        <w:overflowPunct/>
        <w:topLinePunct w:val="0"/>
        <w:autoSpaceDE/>
        <w:autoSpaceDN/>
        <w:bidi w:val="0"/>
        <w:spacing w:line="578" w:lineRule="exact"/>
        <w:ind w:firstLine="64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3.公务接待费支出10万元，完成预算100%。公务接待费支出决算与2021年支出决算持平。</w:t>
      </w:r>
    </w:p>
    <w:p>
      <w:pPr>
        <w:pageBreakBefore w:val="0"/>
        <w:kinsoku/>
        <w:wordWrap/>
        <w:overflowPunct/>
        <w:topLinePunct w:val="0"/>
        <w:autoSpaceDE/>
        <w:autoSpaceDN/>
        <w:bidi w:val="0"/>
        <w:spacing w:line="578" w:lineRule="exact"/>
        <w:ind w:firstLine="64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国内公务接待支出10万元，主要用于自然资源管理执行公务、开展业务活动用于接待开支的交通费、住宿费、用餐费等。国内公务接待98批次，980人次，共计支出10万元。具体内容包括：召开三区市县护林联防工作接待费1.39万元、接待市自然资源保护开发利用中心土整项目规划评审0.16万元、接待调研灾后重建0.42万元、接待省厅调研泸县农村土地承包经营权登记成果0.28万元、接待市督导组检查防汛减灾和地灾防治工作0.15万元等。外事接待支出0万元。</w:t>
      </w:r>
    </w:p>
    <w:p>
      <w:pPr>
        <w:pStyle w:val="4"/>
        <w:pageBreakBefore w:val="0"/>
        <w:kinsoku/>
        <w:wordWrap/>
        <w:overflowPunct/>
        <w:topLinePunct w:val="0"/>
        <w:autoSpaceDE/>
        <w:autoSpaceDN/>
        <w:bidi w:val="0"/>
        <w:spacing w:before="0" w:after="0" w:line="578" w:lineRule="exact"/>
        <w:ind w:firstLine="640" w:firstLineChars="200"/>
        <w:textAlignment w:val="auto"/>
        <w:rPr>
          <w:rFonts w:hint="default" w:ascii="Times New Roman" w:hAnsi="Times New Roman" w:eastAsia="仿宋_GB2312" w:cs="Times New Roman"/>
          <w:b w:val="0"/>
          <w:bCs w:val="0"/>
          <w:sz w:val="32"/>
          <w:szCs w:val="32"/>
        </w:rPr>
      </w:pPr>
      <w:bookmarkStart w:id="82" w:name="_Toc15396610"/>
      <w:bookmarkStart w:id="83" w:name="_Toc15377218"/>
      <w:bookmarkStart w:id="84" w:name="_Toc149227146"/>
      <w:r>
        <w:rPr>
          <w:rFonts w:hint="default" w:ascii="Times New Roman" w:hAnsi="Times New Roman" w:eastAsia="仿宋_GB2312" w:cs="Times New Roman"/>
          <w:b w:val="0"/>
          <w:bCs w:val="0"/>
          <w:sz w:val="32"/>
          <w:szCs w:val="32"/>
        </w:rPr>
        <w:t>八、政府性基金预算支出决算情况说明</w:t>
      </w:r>
      <w:bookmarkEnd w:id="82"/>
      <w:bookmarkEnd w:id="83"/>
      <w:bookmarkEnd w:id="84"/>
    </w:p>
    <w:p>
      <w:pPr>
        <w:pageBreakBefore w:val="0"/>
        <w:kinsoku/>
        <w:wordWrap/>
        <w:overflowPunct/>
        <w:topLinePunct w:val="0"/>
        <w:autoSpaceDE/>
        <w:autoSpaceDN/>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2022年政府性基金预算财政拨款支出1047.55万元。</w:t>
      </w:r>
    </w:p>
    <w:p>
      <w:pPr>
        <w:pageBreakBefore w:val="0"/>
        <w:kinsoku/>
        <w:wordWrap/>
        <w:overflowPunct/>
        <w:topLinePunct w:val="0"/>
        <w:autoSpaceDE/>
        <w:autoSpaceDN/>
        <w:bidi w:val="0"/>
        <w:spacing w:line="578" w:lineRule="exact"/>
        <w:ind w:firstLine="64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主要用于城乡社区支出300万元；其他支出747.55万元。</w:t>
      </w:r>
    </w:p>
    <w:p>
      <w:pPr>
        <w:pStyle w:val="2"/>
        <w:pageBreakBefore w:val="0"/>
        <w:kinsoku/>
        <w:wordWrap/>
        <w:overflowPunct/>
        <w:topLinePunct w:val="0"/>
        <w:autoSpaceDE/>
        <w:autoSpaceDN/>
        <w:bidi w:val="0"/>
        <w:spacing w:line="578" w:lineRule="exact"/>
        <w:ind w:firstLine="640" w:firstLineChars="200"/>
        <w:textAlignment w:val="auto"/>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具体为：其他国有土地使用权出让收入安排的支出300万元，其他地方自行试点项目收益专项债券收入安排的支出747.55万元。</w:t>
      </w:r>
    </w:p>
    <w:p>
      <w:pPr>
        <w:pStyle w:val="2"/>
        <w:spacing w:before="93"/>
        <w:ind w:firstLine="480" w:firstLineChars="150"/>
        <w:rPr>
          <w:rFonts w:hint="default" w:ascii="Times New Roman" w:hAnsi="Times New Roman" w:eastAsia="仿宋" w:cs="Times New Roman"/>
          <w:b w:val="0"/>
          <w:bCs w:val="0"/>
          <w:color w:val="000000"/>
          <w:kern w:val="2"/>
          <w:sz w:val="32"/>
          <w:szCs w:val="32"/>
        </w:rPr>
      </w:pPr>
      <w:r>
        <w:rPr>
          <w:rFonts w:hint="default" w:ascii="Times New Roman" w:hAnsi="Times New Roman" w:eastAsia="仿宋" w:cs="Times New Roman"/>
          <w:b w:val="0"/>
          <w:bCs w:val="0"/>
          <w:color w:val="000000"/>
          <w:kern w:val="2"/>
          <w:sz w:val="32"/>
          <w:szCs w:val="32"/>
        </w:rPr>
        <w:pict>
          <v:shape id="_x0000_s1026" o:spid="_x0000_s1026" o:spt="202" type="#_x0000_t202" style="position:absolute;left:0pt;margin-left:225pt;margin-top:190.8pt;height:22.5pt;width:90.75pt;z-index:251659264;mso-width-relative:page;mso-height-relative:page;" stroked="f" coordsize="21600,21600">
            <v:path/>
            <v:fill focussize="0,0"/>
            <v:stroke on="f" joinstyle="miter"/>
            <v:imagedata o:title=""/>
            <o:lock v:ext="edit"/>
            <v:textbox>
              <w:txbxContent>
                <w:p>
                  <w:pPr>
                    <w:rPr>
                      <w:rFonts w:asciiTheme="minorEastAsia" w:hAnsiTheme="minorEastAsia" w:eastAsiaTheme="minorEastAsia"/>
                      <w:sz w:val="18"/>
                      <w:szCs w:val="18"/>
                    </w:rPr>
                  </w:pPr>
                  <w:r>
                    <w:rPr>
                      <w:rFonts w:hint="eastAsia" w:asciiTheme="minorEastAsia" w:hAnsiTheme="minorEastAsia" w:eastAsiaTheme="minorEastAsia"/>
                      <w:sz w:val="18"/>
                      <w:szCs w:val="18"/>
                    </w:rPr>
                    <w:t>（单位：万元）</w:t>
                  </w:r>
                </w:p>
              </w:txbxContent>
            </v:textbox>
          </v:shape>
        </w:pict>
      </w:r>
      <w:r>
        <w:rPr>
          <w:rFonts w:hint="default" w:ascii="Times New Roman" w:hAnsi="Times New Roman" w:eastAsia="仿宋" w:cs="Times New Roman"/>
          <w:b w:val="0"/>
          <w:bCs w:val="0"/>
          <w:color w:val="000000"/>
          <w:kern w:val="2"/>
          <w:sz w:val="32"/>
          <w:szCs w:val="32"/>
        </w:rPr>
        <w:drawing>
          <wp:inline distT="0" distB="0" distL="0" distR="0">
            <wp:extent cx="4594860" cy="2758440"/>
            <wp:effectExtent l="19050" t="0" r="0" b="0"/>
            <wp:docPr id="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pic:cNvPicPr>
                      <a:picLocks noChangeAspect="1"/>
                    </pic:cNvPicPr>
                  </pic:nvPicPr>
                  <pic:blipFill>
                    <a:blip r:embed="rId16"/>
                    <a:stretch>
                      <a:fillRect/>
                    </a:stretch>
                  </pic:blipFill>
                  <pic:spPr>
                    <a:xfrm>
                      <a:off x="0" y="0"/>
                      <a:ext cx="4594860" cy="2758440"/>
                    </a:xfrm>
                    <a:prstGeom prst="rect">
                      <a:avLst/>
                    </a:prstGeom>
                  </pic:spPr>
                </pic:pic>
              </a:graphicData>
            </a:graphic>
          </wp:inline>
        </w:drawing>
      </w:r>
    </w:p>
    <w:p>
      <w:pPr>
        <w:pStyle w:val="4"/>
        <w:pageBreakBefore w:val="0"/>
        <w:kinsoku/>
        <w:wordWrap/>
        <w:overflowPunct/>
        <w:topLinePunct w:val="0"/>
        <w:bidi w:val="0"/>
        <w:spacing w:before="0" w:after="0" w:line="578" w:lineRule="exact"/>
        <w:ind w:firstLine="640" w:firstLineChars="200"/>
        <w:textAlignment w:val="auto"/>
        <w:rPr>
          <w:rFonts w:hint="default" w:ascii="Times New Roman" w:hAnsi="Times New Roman" w:eastAsia="仿宋_GB2312" w:cs="Times New Roman"/>
          <w:b w:val="0"/>
          <w:bCs w:val="0"/>
          <w:sz w:val="32"/>
          <w:szCs w:val="32"/>
        </w:rPr>
      </w:pPr>
      <w:bookmarkStart w:id="85" w:name="_Toc149227147"/>
      <w:bookmarkStart w:id="86" w:name="_Toc15396611"/>
      <w:bookmarkStart w:id="87" w:name="_Toc15377219"/>
      <w:r>
        <w:rPr>
          <w:rFonts w:hint="default" w:ascii="Times New Roman" w:hAnsi="Times New Roman" w:eastAsia="仿宋_GB2312" w:cs="Times New Roman"/>
          <w:b w:val="0"/>
          <w:bCs w:val="0"/>
          <w:sz w:val="32"/>
          <w:szCs w:val="32"/>
        </w:rPr>
        <w:t>九、国有资本经营预算支出决算情况说明</w:t>
      </w:r>
      <w:bookmarkEnd w:id="85"/>
      <w:bookmarkEnd w:id="86"/>
      <w:bookmarkEnd w:id="87"/>
    </w:p>
    <w:p>
      <w:pPr>
        <w:pageBreakBefore w:val="0"/>
        <w:kinsoku/>
        <w:wordWrap/>
        <w:overflowPunct/>
        <w:topLinePunct w:val="0"/>
        <w:bidi w:val="0"/>
        <w:spacing w:line="578" w:lineRule="exact"/>
        <w:ind w:firstLine="64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2022年国有资本经营预算财政拨款支出0万元。</w:t>
      </w:r>
    </w:p>
    <w:p>
      <w:pPr>
        <w:pStyle w:val="4"/>
        <w:pageBreakBefore w:val="0"/>
        <w:kinsoku/>
        <w:wordWrap/>
        <w:overflowPunct/>
        <w:topLinePunct w:val="0"/>
        <w:bidi w:val="0"/>
        <w:spacing w:before="0" w:after="0" w:line="578" w:lineRule="exact"/>
        <w:ind w:firstLine="640" w:firstLineChars="200"/>
        <w:textAlignment w:val="auto"/>
        <w:rPr>
          <w:rFonts w:hint="default" w:ascii="Times New Roman" w:hAnsi="Times New Roman" w:eastAsia="仿宋_GB2312" w:cs="Times New Roman"/>
          <w:b w:val="0"/>
          <w:bCs w:val="0"/>
          <w:sz w:val="32"/>
          <w:szCs w:val="32"/>
        </w:rPr>
      </w:pPr>
      <w:bookmarkStart w:id="88" w:name="_Toc15396612"/>
      <w:bookmarkStart w:id="89" w:name="_Toc149227148"/>
      <w:bookmarkStart w:id="90" w:name="_Toc15377221"/>
      <w:r>
        <w:rPr>
          <w:rFonts w:hint="default" w:ascii="Times New Roman" w:hAnsi="Times New Roman" w:eastAsia="仿宋_GB2312" w:cs="Times New Roman"/>
          <w:b w:val="0"/>
          <w:bCs w:val="0"/>
          <w:sz w:val="32"/>
          <w:szCs w:val="32"/>
        </w:rPr>
        <w:t>十、其他重要事项的情况说明</w:t>
      </w:r>
      <w:bookmarkEnd w:id="88"/>
      <w:bookmarkEnd w:id="89"/>
      <w:bookmarkEnd w:id="90"/>
    </w:p>
    <w:p>
      <w:pPr>
        <w:pageBreakBefore w:val="0"/>
        <w:kinsoku/>
        <w:wordWrap/>
        <w:overflowPunct/>
        <w:topLinePunct w:val="0"/>
        <w:bidi w:val="0"/>
        <w:spacing w:line="578" w:lineRule="exact"/>
        <w:ind w:firstLine="640" w:firstLineChars="200"/>
        <w:textAlignment w:val="auto"/>
        <w:outlineLvl w:val="2"/>
        <w:rPr>
          <w:rFonts w:hint="default" w:ascii="Times New Roman" w:hAnsi="Times New Roman" w:eastAsia="仿宋_GB2312" w:cs="Times New Roman"/>
          <w:b w:val="0"/>
          <w:bCs w:val="0"/>
          <w:color w:val="000000"/>
          <w:sz w:val="32"/>
          <w:szCs w:val="32"/>
        </w:rPr>
      </w:pPr>
      <w:bookmarkStart w:id="91" w:name="_Toc149227149"/>
      <w:bookmarkStart w:id="92" w:name="_Toc15377222"/>
      <w:r>
        <w:rPr>
          <w:rFonts w:hint="default" w:ascii="Times New Roman" w:hAnsi="Times New Roman" w:eastAsia="仿宋_GB2312" w:cs="Times New Roman"/>
          <w:b w:val="0"/>
          <w:bCs w:val="0"/>
          <w:color w:val="000000"/>
          <w:sz w:val="32"/>
          <w:szCs w:val="32"/>
        </w:rPr>
        <w:t>（一）机关运行经费支出情况</w:t>
      </w:r>
      <w:bookmarkEnd w:id="91"/>
      <w:bookmarkEnd w:id="92"/>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2022年，自然资源机关运行经费支出265.57万元，比2021年减少133.07万元，下降33.38%。主要是因时间问题形成跨年支付，实际情况为与2021年决算支出基本持平。</w:t>
      </w:r>
    </w:p>
    <w:p>
      <w:pPr>
        <w:pageBreakBefore w:val="0"/>
        <w:kinsoku/>
        <w:wordWrap/>
        <w:overflowPunct/>
        <w:topLinePunct w:val="0"/>
        <w:autoSpaceDE w:val="0"/>
        <w:autoSpaceDN w:val="0"/>
        <w:bidi w:val="0"/>
        <w:adjustRightInd w:val="0"/>
        <w:spacing w:line="578" w:lineRule="exact"/>
        <w:ind w:firstLine="640" w:firstLineChars="200"/>
        <w:jc w:val="left"/>
        <w:textAlignment w:val="auto"/>
        <w:outlineLvl w:val="2"/>
        <w:rPr>
          <w:rFonts w:hint="default" w:ascii="Times New Roman" w:hAnsi="Times New Roman" w:eastAsia="仿宋_GB2312" w:cs="Times New Roman"/>
          <w:b w:val="0"/>
          <w:bCs w:val="0"/>
          <w:color w:val="000000"/>
          <w:sz w:val="32"/>
          <w:szCs w:val="32"/>
        </w:rPr>
      </w:pPr>
      <w:bookmarkStart w:id="93" w:name="_Toc15377223"/>
      <w:bookmarkStart w:id="94" w:name="_Toc149227150"/>
      <w:r>
        <w:rPr>
          <w:rFonts w:hint="default" w:ascii="Times New Roman" w:hAnsi="Times New Roman" w:eastAsia="仿宋_GB2312" w:cs="Times New Roman"/>
          <w:b w:val="0"/>
          <w:bCs w:val="0"/>
          <w:color w:val="000000"/>
          <w:sz w:val="32"/>
          <w:szCs w:val="32"/>
        </w:rPr>
        <w:t>（二）政府采购支出情况</w:t>
      </w:r>
      <w:bookmarkEnd w:id="93"/>
      <w:bookmarkEnd w:id="94"/>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2022年，政府采购支出总额5835.68万元，其中：政府采购货物支出96.6万元、政府采购工程支出272.08万元、政府采购服务支出5467万元。主要用于泸县森林防灾减灾项目泸县森林防灭火视频监控设备维修子项目、泸县不动产登记中心自助设备及服务采购、泸县片区国土空间规划编制采购项目、泸县土地综合整治与生态修复规划等四个技术服务项目、泸县立石镇艾大桥村等三个村土地整治项目技术服务项目、5宗拟设采矿权地质勘测项目、泸县2021年中央财政改革发展资金森林抚育项目、2022年矿山企业测绘服务、泸县不动产登记数据清理整合项目、泸县百和镇两个土地整治项目技术服务项目</w:t>
      </w:r>
      <w:r>
        <w:rPr>
          <w:rFonts w:hint="default" w:ascii="Times New Roman" w:hAnsi="Times New Roman" w:eastAsia="仿宋_GB2312" w:cs="Times New Roman"/>
          <w:b w:val="0"/>
          <w:bCs w:val="0"/>
          <w:color w:val="000000"/>
          <w:sz w:val="32"/>
          <w:szCs w:val="32"/>
        </w:rPr>
        <w:tab/>
      </w:r>
      <w:r>
        <w:rPr>
          <w:rFonts w:hint="default" w:ascii="Times New Roman" w:hAnsi="Times New Roman" w:eastAsia="仿宋_GB2312" w:cs="Times New Roman"/>
          <w:b w:val="0"/>
          <w:bCs w:val="0"/>
          <w:color w:val="000000"/>
          <w:sz w:val="32"/>
          <w:szCs w:val="32"/>
        </w:rPr>
        <w:t>、泸县2008年林权确权颁证数据整合入库汇交项目（兆立等6镇）、泸县2009年林权确权颁证数据整合入库汇交项目（方喻等7镇）、泸县2010年林权确权颁证数据整合入库汇交项目（奇玄等6镇）、泸县森林防灾减灾项目泸县森林防灭火消防水池维修加固建设子项目、泸县9·16震后福集镇石鸭滩村2社文昌宫地面塌陷治理工程等项目。授予中小企业合同金额0万元，占政府采购支出总额的0%，其中：授予小微企业合同金额0万元，占政府采购支出总额的0%。</w:t>
      </w:r>
    </w:p>
    <w:p>
      <w:pPr>
        <w:pageBreakBefore w:val="0"/>
        <w:kinsoku/>
        <w:wordWrap/>
        <w:overflowPunct/>
        <w:topLinePunct w:val="0"/>
        <w:autoSpaceDE w:val="0"/>
        <w:autoSpaceDN w:val="0"/>
        <w:bidi w:val="0"/>
        <w:adjustRightInd w:val="0"/>
        <w:spacing w:line="578" w:lineRule="exact"/>
        <w:ind w:firstLine="640" w:firstLineChars="200"/>
        <w:jc w:val="left"/>
        <w:textAlignment w:val="auto"/>
        <w:outlineLvl w:val="2"/>
        <w:rPr>
          <w:rFonts w:hint="default" w:ascii="Times New Roman" w:hAnsi="Times New Roman" w:eastAsia="仿宋_GB2312" w:cs="Times New Roman"/>
          <w:b w:val="0"/>
          <w:bCs w:val="0"/>
          <w:color w:val="000000"/>
          <w:sz w:val="32"/>
          <w:szCs w:val="32"/>
        </w:rPr>
      </w:pPr>
      <w:bookmarkStart w:id="95" w:name="_Toc15377224"/>
      <w:bookmarkStart w:id="96" w:name="_Toc149227151"/>
      <w:r>
        <w:rPr>
          <w:rFonts w:hint="default" w:ascii="Times New Roman" w:hAnsi="Times New Roman" w:eastAsia="仿宋_GB2312" w:cs="Times New Roman"/>
          <w:b w:val="0"/>
          <w:bCs w:val="0"/>
          <w:color w:val="000000"/>
          <w:sz w:val="32"/>
          <w:szCs w:val="32"/>
        </w:rPr>
        <w:t>（三）国有资产占有使用情况</w:t>
      </w:r>
      <w:bookmarkEnd w:id="95"/>
      <w:bookmarkEnd w:id="96"/>
    </w:p>
    <w:p>
      <w:pPr>
        <w:pageBreakBefore w:val="0"/>
        <w:kinsoku/>
        <w:wordWrap/>
        <w:overflowPunct/>
        <w:topLinePunct w:val="0"/>
        <w:autoSpaceDE w:val="0"/>
        <w:autoSpaceDN w:val="0"/>
        <w:bidi w:val="0"/>
        <w:adjustRightInd w:val="0"/>
        <w:spacing w:line="578" w:lineRule="exact"/>
        <w:ind w:firstLine="640" w:firstLineChars="200"/>
        <w:jc w:val="left"/>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color w:val="000000"/>
          <w:sz w:val="32"/>
          <w:szCs w:val="32"/>
        </w:rPr>
        <w:t>截至2022年12月31日，自然资源和规划局共有车辆12辆，其中：主要领导干部用车0辆、机要通信用车0辆、应急保障用车4辆、</w:t>
      </w:r>
      <w:r>
        <w:rPr>
          <w:rFonts w:hint="default" w:ascii="Times New Roman" w:hAnsi="Times New Roman" w:eastAsia="仿宋_GB2312" w:cs="Times New Roman"/>
          <w:b w:val="0"/>
          <w:bCs w:val="0"/>
          <w:sz w:val="32"/>
          <w:szCs w:val="32"/>
        </w:rPr>
        <w:t>执法执勤用车4辆、特种专业技术用车1辆、其他用车3辆，其他用车主要是用于取消育林基金后森林资源培育、保护、管理、矿产资源管理、执法巡查、耕地保护、规划等业务用车。单价100万元以上专用设备0台（套）。</w:t>
      </w:r>
    </w:p>
    <w:p>
      <w:pPr>
        <w:pageBreakBefore w:val="0"/>
        <w:kinsoku/>
        <w:wordWrap/>
        <w:overflowPunct/>
        <w:topLinePunct w:val="0"/>
        <w:autoSpaceDE w:val="0"/>
        <w:autoSpaceDN w:val="0"/>
        <w:bidi w:val="0"/>
        <w:adjustRightInd w:val="0"/>
        <w:spacing w:line="578" w:lineRule="exact"/>
        <w:ind w:firstLine="640" w:firstLineChars="200"/>
        <w:jc w:val="left"/>
        <w:textAlignment w:val="auto"/>
        <w:outlineLvl w:val="2"/>
        <w:rPr>
          <w:rFonts w:hint="default" w:ascii="Times New Roman" w:hAnsi="Times New Roman" w:eastAsia="仿宋_GB2312" w:cs="Times New Roman"/>
          <w:b w:val="0"/>
          <w:bCs w:val="0"/>
          <w:color w:val="000000"/>
          <w:sz w:val="32"/>
          <w:szCs w:val="32"/>
        </w:rPr>
      </w:pPr>
      <w:bookmarkStart w:id="97" w:name="_Toc149227152"/>
      <w:r>
        <w:rPr>
          <w:rFonts w:hint="default" w:ascii="Times New Roman" w:hAnsi="Times New Roman" w:eastAsia="仿宋_GB2312" w:cs="Times New Roman"/>
          <w:b w:val="0"/>
          <w:bCs w:val="0"/>
          <w:color w:val="000000"/>
          <w:sz w:val="32"/>
          <w:szCs w:val="32"/>
        </w:rPr>
        <w:t>（四）预算绩效管理情况</w:t>
      </w:r>
      <w:bookmarkEnd w:id="97"/>
    </w:p>
    <w:p>
      <w:pPr>
        <w:pageBreakBefore w:val="0"/>
        <w:widowControl/>
        <w:kinsoku/>
        <w:wordWrap/>
        <w:overflowPunct/>
        <w:topLinePunct w:val="0"/>
        <w:bidi w:val="0"/>
        <w:spacing w:line="578" w:lineRule="exact"/>
        <w:ind w:firstLine="640" w:firstLineChars="200"/>
        <w:jc w:val="left"/>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根据预算绩效管理要求，本部门在2022年度预算编制阶段，组织对地质灾害宣传培训演练项目等59个项目开展了预算事前绩效评估，对59个项目编制了绩效目标，预算执行过程中，选取59个项目开展绩效监控。</w:t>
      </w:r>
    </w:p>
    <w:p>
      <w:pPr>
        <w:pageBreakBefore w:val="0"/>
        <w:widowControl/>
        <w:kinsoku/>
        <w:wordWrap/>
        <w:overflowPunct/>
        <w:topLinePunct w:val="0"/>
        <w:bidi w:val="0"/>
        <w:spacing w:line="578" w:lineRule="exact"/>
        <w:ind w:firstLine="640" w:firstLineChars="200"/>
        <w:jc w:val="left"/>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组织对2022年度一般公共预算、政府性基金预算、等全面开展绩效自评，形成自然资源和规划部门整体绩效自评报告、泸县国有林场实施项目、泸县森林防灾减灾项目等专项预算项目绩效自评报告，其中自然资源和规划部门整体（含部门预算项目）绩效自评得分为90分。</w:t>
      </w:r>
    </w:p>
    <w:p>
      <w:pPr>
        <w:pageBreakBefore w:val="0"/>
        <w:widowControl/>
        <w:kinsoku/>
        <w:wordWrap/>
        <w:overflowPunct/>
        <w:topLinePunct w:val="0"/>
        <w:bidi w:val="0"/>
        <w:spacing w:line="578" w:lineRule="exact"/>
        <w:ind w:firstLine="640" w:firstLineChars="200"/>
        <w:jc w:val="left"/>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绩效自评综述：本部门整体支出绩效达到预期，完成情况良好；绩效自评报告、绩效自评表详见附件。</w:t>
      </w:r>
      <w:bookmarkStart w:id="98" w:name="_Toc15396613"/>
      <w:bookmarkStart w:id="99" w:name="_Toc15377225"/>
    </w:p>
    <w:p>
      <w:pPr>
        <w:pStyle w:val="3"/>
        <w:pageBreakBefore w:val="0"/>
        <w:kinsoku/>
        <w:wordWrap/>
        <w:overflowPunct/>
        <w:topLinePunct w:val="0"/>
        <w:bidi w:val="0"/>
        <w:spacing w:before="0" w:after="0" w:line="578" w:lineRule="exact"/>
        <w:ind w:firstLine="640" w:firstLineChars="200"/>
        <w:textAlignment w:val="auto"/>
        <w:rPr>
          <w:rFonts w:hint="default" w:ascii="Times New Roman" w:hAnsi="Times New Roman" w:eastAsia="仿宋_GB2312" w:cs="Times New Roman"/>
          <w:b w:val="0"/>
          <w:bCs w:val="0"/>
          <w:sz w:val="32"/>
          <w:szCs w:val="32"/>
        </w:rPr>
      </w:pPr>
      <w:bookmarkStart w:id="100" w:name="_Toc149227153"/>
      <w:r>
        <w:rPr>
          <w:rFonts w:hint="default" w:ascii="Times New Roman" w:hAnsi="Times New Roman" w:eastAsia="仿宋_GB2312" w:cs="Times New Roman"/>
          <w:b w:val="0"/>
          <w:bCs w:val="0"/>
          <w:sz w:val="32"/>
          <w:szCs w:val="32"/>
        </w:rPr>
        <w:t>第三部分名词解释</w:t>
      </w:r>
      <w:bookmarkEnd w:id="98"/>
      <w:bookmarkEnd w:id="99"/>
      <w:bookmarkEnd w:id="100"/>
    </w:p>
    <w:p>
      <w:pPr>
        <w:pStyle w:val="45"/>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kern w:val="2"/>
          <w:sz w:val="32"/>
          <w:szCs w:val="32"/>
        </w:rPr>
      </w:pPr>
      <w:r>
        <w:rPr>
          <w:rFonts w:hint="default" w:ascii="Times New Roman" w:hAnsi="Times New Roman" w:eastAsia="仿宋_GB2312" w:cs="Times New Roman"/>
          <w:b w:val="0"/>
          <w:bCs w:val="0"/>
          <w:kern w:val="2"/>
          <w:sz w:val="32"/>
          <w:szCs w:val="32"/>
        </w:rPr>
        <w:t>1.财政拨款收入：指单位从同级财政部门取得的财政预算资金。</w:t>
      </w:r>
    </w:p>
    <w:p>
      <w:pPr>
        <w:pStyle w:val="45"/>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kern w:val="2"/>
          <w:sz w:val="32"/>
          <w:szCs w:val="32"/>
        </w:rPr>
      </w:pPr>
      <w:r>
        <w:rPr>
          <w:rFonts w:hint="default" w:ascii="Times New Roman" w:hAnsi="Times New Roman" w:eastAsia="仿宋_GB2312" w:cs="Times New Roman"/>
          <w:b w:val="0"/>
          <w:bCs w:val="0"/>
          <w:kern w:val="2"/>
          <w:sz w:val="32"/>
          <w:szCs w:val="32"/>
        </w:rPr>
        <w:t>2.年初结转和结余：指以前年度尚未完成、结转到本年按有关规定继续使用的资金。</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3.社会保障和就业（类）行政事业单位养老支出（款）机关事业单位基本养老保险缴费支出（项）：指反映机关事业单位实施养老保险制度由单位实际缴基本养老保险费支出。</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4.社会保障和就业（类）行政事业单位养老支出（款）机关事业单位职业年金缴费支出（项）：指反映机关事业单位实施养老保险制度由单位实际缴纳的职业年金支出。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5.社会保障和就业（类）行政事业单位养老支出（款）其他行政事业单位养老支出（项）：指反映除行政单位离退休 、事业单位离退休、离退休人员管理机构、机关事业单位基本养老保险缴费支出、机关事业单位职业年金缴费支出、对机关事业单位基本养老保险基金的补助、对机关事业单位职业年金的补助项目以外其他用于行政事业单位养老方面的支出。</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6.卫生健康（类）行政事业单位医疗（款）行政单位医疗（项）：指反映财政部门安排的行政单位</w:t>
      </w:r>
      <w:r>
        <w:rPr>
          <w:rFonts w:hint="eastAsia" w:eastAsia="仿宋_GB2312" w:cs="Times New Roman"/>
          <w:b w:val="0"/>
          <w:bCs w:val="0"/>
          <w:color w:val="000000"/>
          <w:sz w:val="32"/>
          <w:szCs w:val="32"/>
          <w:lang w:eastAsia="zh-CN"/>
        </w:rPr>
        <w:t>（</w:t>
      </w:r>
      <w:r>
        <w:rPr>
          <w:rFonts w:hint="default" w:ascii="Times New Roman" w:hAnsi="Times New Roman" w:eastAsia="仿宋_GB2312" w:cs="Times New Roman"/>
          <w:b w:val="0"/>
          <w:bCs w:val="0"/>
          <w:color w:val="000000"/>
          <w:sz w:val="32"/>
          <w:szCs w:val="32"/>
        </w:rPr>
        <w:t>包括实行公务员管理的事业单位，下同</w:t>
      </w:r>
      <w:r>
        <w:rPr>
          <w:rFonts w:hint="eastAsia" w:eastAsia="仿宋_GB2312" w:cs="Times New Roman"/>
          <w:b w:val="0"/>
          <w:bCs w:val="0"/>
          <w:color w:val="000000"/>
          <w:sz w:val="32"/>
          <w:szCs w:val="32"/>
          <w:lang w:eastAsia="zh-CN"/>
        </w:rPr>
        <w:t>）</w:t>
      </w:r>
      <w:r>
        <w:rPr>
          <w:rFonts w:hint="default" w:ascii="Times New Roman" w:hAnsi="Times New Roman" w:eastAsia="仿宋_GB2312" w:cs="Times New Roman"/>
          <w:b w:val="0"/>
          <w:bCs w:val="0"/>
          <w:color w:val="000000"/>
          <w:sz w:val="32"/>
          <w:szCs w:val="32"/>
        </w:rPr>
        <w:t>基本医疗保险缴费经费，未参加医疗保险的行政单位的公费医疗经费，按国家规定面的支出。</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7.卫生健康（类）行政事业单位医疗（款）事业单位医疗（项）：指反映财政部门安排的事业单位基本医疗保险缴费经费，未参加医疗保险的事业单位的公费医疗经费，按国家规定享受离休人员待遇的医疗经费。</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8.城乡社区（类）国有土地使用权出让收入安排的支出（款）其他国有土地使用权出让收入安排的支出（项）：指反映土地出让</w:t>
      </w:r>
      <w:r>
        <w:rPr>
          <w:rFonts w:hint="eastAsia" w:eastAsia="仿宋_GB2312" w:cs="Times New Roman"/>
          <w:b w:val="0"/>
          <w:bCs w:val="0"/>
          <w:color w:val="000000"/>
          <w:sz w:val="32"/>
          <w:szCs w:val="32"/>
          <w:lang w:eastAsia="zh-CN"/>
        </w:rPr>
        <w:t>收入</w:t>
      </w:r>
      <w:r>
        <w:rPr>
          <w:rFonts w:hint="default" w:ascii="Times New Roman" w:hAnsi="Times New Roman" w:eastAsia="仿宋_GB2312" w:cs="Times New Roman"/>
          <w:b w:val="0"/>
          <w:bCs w:val="0"/>
          <w:color w:val="000000"/>
          <w:sz w:val="32"/>
          <w:szCs w:val="32"/>
        </w:rPr>
        <w:t>用于其他方面的支出。不包括市县级政府当年按规定用土地出让</w:t>
      </w:r>
      <w:r>
        <w:rPr>
          <w:rFonts w:hint="eastAsia" w:eastAsia="仿宋_GB2312" w:cs="Times New Roman"/>
          <w:b w:val="0"/>
          <w:bCs w:val="0"/>
          <w:color w:val="000000"/>
          <w:sz w:val="32"/>
          <w:szCs w:val="32"/>
          <w:lang w:eastAsia="zh-CN"/>
        </w:rPr>
        <w:t>收入</w:t>
      </w:r>
      <w:r>
        <w:rPr>
          <w:rFonts w:hint="default" w:ascii="Times New Roman" w:hAnsi="Times New Roman" w:eastAsia="仿宋_GB2312" w:cs="Times New Roman"/>
          <w:b w:val="0"/>
          <w:bCs w:val="0"/>
          <w:color w:val="000000"/>
          <w:sz w:val="32"/>
          <w:szCs w:val="32"/>
        </w:rPr>
        <w:t>向中央和省级政府缴纳的新增建设用地土地有偿使用费的支出。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9.农林水支出（类）农业农村（款）防灾救灾（项）：指反映对农业生产因遭受自然、生物灾害损失给予的补助，促进农业防灾增产措施补助，海难救助补助，因其他灾害导致农牧渔业生产者损失给予的补助。</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10.农林水支出（类）农业农村（款）农田建设（项）：指称反映用于农田建设和田间水利相关工程建设的支出。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11.农林水支出（类）林业和草原（款）森林资源培育（项）：指反映育苗</w:t>
      </w:r>
      <w:r>
        <w:rPr>
          <w:rFonts w:hint="eastAsia" w:ascii="Times New Roman" w:hAnsi="Times New Roman" w:cs="Times New Roman"/>
          <w:b w:val="0"/>
          <w:bCs w:val="0"/>
          <w:color w:val="000000"/>
          <w:sz w:val="32"/>
          <w:szCs w:val="32"/>
          <w:lang w:eastAsia="zh-CN"/>
        </w:rPr>
        <w:t>（</w:t>
      </w:r>
      <w:r>
        <w:rPr>
          <w:rFonts w:hint="default" w:ascii="Times New Roman" w:hAnsi="Times New Roman" w:eastAsia="仿宋_GB2312" w:cs="Times New Roman"/>
          <w:b w:val="0"/>
          <w:bCs w:val="0"/>
          <w:color w:val="000000"/>
          <w:sz w:val="32"/>
          <w:szCs w:val="32"/>
        </w:rPr>
        <w:t>种</w:t>
      </w:r>
      <w:r>
        <w:rPr>
          <w:rFonts w:hint="eastAsia" w:ascii="Times New Roman" w:hAnsi="Times New Roman" w:cs="Times New Roman"/>
          <w:b w:val="0"/>
          <w:bCs w:val="0"/>
          <w:color w:val="000000"/>
          <w:sz w:val="32"/>
          <w:szCs w:val="32"/>
          <w:lang w:eastAsia="zh-CN"/>
        </w:rPr>
        <w:t>）</w:t>
      </w:r>
      <w:r>
        <w:rPr>
          <w:rFonts w:hint="default" w:ascii="Times New Roman" w:hAnsi="Times New Roman" w:eastAsia="仿宋_GB2312" w:cs="Times New Roman"/>
          <w:b w:val="0"/>
          <w:bCs w:val="0"/>
          <w:color w:val="000000"/>
          <w:sz w:val="32"/>
          <w:szCs w:val="32"/>
        </w:rPr>
        <w:t>、造林、抚育、退化林修复、义务植树以及生物质能源建设等方面的支出。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12.农林水支出（类）林业和草原（款）森林资源管理（项）：指反映森林资源核查、监测、评估、经营利用、林地保护等方面的支出。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13.农林水支出（类）林业和草原（款）森林生态效益补偿（项）：指反映用于公益林保护和管理等方面的支出。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14.农林水支出（类）林业和草原（款）动植物保护（项）：指反映动植物资源生存环境调查、监测、保护管理、野外放</w:t>
      </w:r>
      <w:r>
        <w:rPr>
          <w:rFonts w:hint="eastAsia" w:ascii="Times New Roman" w:hAnsi="Times New Roman" w:cs="Times New Roman"/>
          <w:b w:val="0"/>
          <w:bCs w:val="0"/>
          <w:color w:val="000000"/>
          <w:sz w:val="32"/>
          <w:szCs w:val="32"/>
          <w:lang w:eastAsia="zh-CN"/>
        </w:rPr>
        <w:t>（</w:t>
      </w:r>
      <w:r>
        <w:rPr>
          <w:rFonts w:hint="default" w:ascii="Times New Roman" w:hAnsi="Times New Roman" w:eastAsia="仿宋_GB2312" w:cs="Times New Roman"/>
          <w:b w:val="0"/>
          <w:bCs w:val="0"/>
          <w:color w:val="000000"/>
          <w:sz w:val="32"/>
          <w:szCs w:val="32"/>
        </w:rPr>
        <w:t>回</w:t>
      </w:r>
      <w:r>
        <w:rPr>
          <w:rFonts w:hint="eastAsia" w:ascii="Times New Roman" w:hAnsi="Times New Roman" w:cs="Times New Roman"/>
          <w:b w:val="0"/>
          <w:bCs w:val="0"/>
          <w:color w:val="000000"/>
          <w:sz w:val="32"/>
          <w:szCs w:val="32"/>
          <w:lang w:eastAsia="zh-CN"/>
        </w:rPr>
        <w:t>）</w:t>
      </w:r>
      <w:r>
        <w:rPr>
          <w:rFonts w:hint="default" w:ascii="Times New Roman" w:hAnsi="Times New Roman" w:eastAsia="仿宋_GB2312" w:cs="Times New Roman"/>
          <w:b w:val="0"/>
          <w:bCs w:val="0"/>
          <w:color w:val="000000"/>
          <w:sz w:val="32"/>
          <w:szCs w:val="32"/>
        </w:rPr>
        <w:t>归、巡护、野生动物疫源疫病监测防控、濒危野生动植物拯救、繁育及进出口管理等方面的支出。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15.农林水支出（类）林业和草原（款）林区公共支出（项）：指反映林区公共支出。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16.农林水支出（类）林业和草原（款）林业草原防灾减灾（项）：指反映病虫害等有害生物灾害、森林草原防火、动物疫病灾害等方面的支出。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17.农林水支出（类）巩固脱贫衔接乡村振兴（款）其他巩固脱贫衔接乡村振兴支出（项）：指反映用于农村（包括国有农场、国有林场）巩固拓展脱贫攻坚成果同乡村振兴有效衔接其他用于巩固拓展脱贫攻坚成果同乡村振兴有效衔接方面的支出。</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18.自然资源海洋气象等（类）自然资源事务（款）行政运行（项）：指反映行政单位（包括实行公务员管理的事业单位）的基本支出。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19.自然资源海洋气象等（类）自然资源事务（款）一般行政管理事务（项）：指反映指反映行政单位（包括实行公务员管理的事业单位）未单独设置项级科目的其他项目支出。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20.自然资源海洋气象等（类）自然资源事务（款）自然资源规划及管理（项）：指反映用于国土空间规划、国土空间开发适宜性评价等方面的支出。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21.自然资源海洋气象等（类）自然资源事务（款）自然资源利用与保护（项）：指反映用于自然资源有偿使用与合理开发利用、国土空间生态修复、国土整治、耕地保护等方面的支出。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22.自然资源海洋气象等（类）自然资源事务（款）自然资源行业业务管理（项）：指反映用于自然资源行业业务管理经费支出，包括行业标准和规程、政策法规、审计监督、队伍建设等方面的支出。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23.自然资源海洋气象等（类）自然资源事务（款）自然资源调查与确权登记（项）：指反映自然资源部门用于自然资源调查监测评价，自然资源统一确权登记等方面的支出。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24.自然资源海洋气象等（类）自然资源事务（款）地质矿产资源与环境调查（项）：指反映用于中国地质调查局开展陆域海域公益性基础地质调查、重要能源资源矿产调查;服务国民经济和生态文明建设，开展重要经济区和城市群综合地质调查、地质灾害隐患和水文地质环境调查;服务“一带</w:t>
      </w:r>
      <w:r>
        <w:rPr>
          <w:rFonts w:hint="eastAsia" w:ascii="Times New Roman" w:hAnsi="Times New Roman" w:cs="Times New Roman"/>
          <w:b w:val="0"/>
          <w:bCs w:val="0"/>
          <w:color w:val="000000"/>
          <w:sz w:val="32"/>
          <w:szCs w:val="32"/>
          <w:lang w:eastAsia="zh-CN"/>
        </w:rPr>
        <w:t>一</w:t>
      </w:r>
      <w:r>
        <w:rPr>
          <w:rFonts w:hint="default" w:ascii="Times New Roman" w:hAnsi="Times New Roman" w:eastAsia="仿宋_GB2312" w:cs="Times New Roman"/>
          <w:b w:val="0"/>
          <w:bCs w:val="0"/>
          <w:color w:val="000000"/>
          <w:sz w:val="32"/>
          <w:szCs w:val="32"/>
        </w:rPr>
        <w:t>路”、 军民融合等国家重大战略，开展相关地质调查工作，以及加强地质资源环境信息化建设，提高地质调查能力和科技水平等相关支出。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ab/>
      </w:r>
      <w:r>
        <w:rPr>
          <w:rFonts w:hint="default" w:ascii="Times New Roman" w:hAnsi="Times New Roman" w:eastAsia="仿宋_GB2312" w:cs="Times New Roman"/>
          <w:b w:val="0"/>
          <w:bCs w:val="0"/>
          <w:color w:val="000000"/>
          <w:sz w:val="32"/>
          <w:szCs w:val="32"/>
        </w:rPr>
        <w:t>25.自然资源海洋气象等（类）自然资源事务（款）事业运行（项）：指反映反映事业单位的基本支出，不包括行政单位</w:t>
      </w:r>
      <w:r>
        <w:rPr>
          <w:rFonts w:hint="eastAsia" w:ascii="Times New Roman" w:hAnsi="Times New Roman" w:cs="Times New Roman"/>
          <w:b w:val="0"/>
          <w:bCs w:val="0"/>
          <w:color w:val="000000"/>
          <w:sz w:val="32"/>
          <w:szCs w:val="32"/>
          <w:lang w:eastAsia="zh-CN"/>
        </w:rPr>
        <w:t>（</w:t>
      </w:r>
      <w:r>
        <w:rPr>
          <w:rFonts w:hint="default" w:ascii="Times New Roman" w:hAnsi="Times New Roman" w:eastAsia="仿宋_GB2312" w:cs="Times New Roman"/>
          <w:b w:val="0"/>
          <w:bCs w:val="0"/>
          <w:color w:val="000000"/>
          <w:sz w:val="32"/>
          <w:szCs w:val="32"/>
        </w:rPr>
        <w:t>包括实行公务员管理的事业单位</w:t>
      </w:r>
      <w:r>
        <w:rPr>
          <w:rFonts w:hint="eastAsia" w:ascii="Times New Roman" w:hAnsi="Times New Roman" w:cs="Times New Roman"/>
          <w:b w:val="0"/>
          <w:bCs w:val="0"/>
          <w:color w:val="000000"/>
          <w:sz w:val="32"/>
          <w:szCs w:val="32"/>
          <w:lang w:eastAsia="zh-CN"/>
        </w:rPr>
        <w:t>）</w:t>
      </w:r>
      <w:r>
        <w:rPr>
          <w:rFonts w:hint="default" w:ascii="Times New Roman" w:hAnsi="Times New Roman" w:eastAsia="仿宋_GB2312" w:cs="Times New Roman"/>
          <w:b w:val="0"/>
          <w:bCs w:val="0"/>
          <w:color w:val="000000"/>
          <w:sz w:val="32"/>
          <w:szCs w:val="32"/>
        </w:rPr>
        <w:t>后勤服务中心、医务室等附属事业单位。</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26.自然资源海洋气象等（类）自然资源事务（款）其他自然资源事务支出（项）：指反映政府用于自然资源、海洋、测绘、气象等公益服务事业其他用于自然资源事务方面的支出。</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27.灾害防治及应急管理支出（类）自然灾害防治（款）地质灾害防治（项）：指反映防治地质灾害方面的支出。</w:t>
      </w:r>
    </w:p>
    <w:p>
      <w:pPr>
        <w:pStyle w:val="2"/>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color w:val="000000"/>
          <w:sz w:val="32"/>
          <w:szCs w:val="32"/>
        </w:rPr>
        <w:t>28.灾害防治及应急管理支出（类）自然灾害救灾及恢复重建支出（款）其他自然灾害救灾及恢复重建支出（项）：指反映用于自然灾害生活救助、救灾及灾后恢复重建方面除自然灾害救灾补助、自然灾害灾后重建补助、以外的其他用于自然灾害救灾、灾后恢复重建等方面的支出。</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29.其他支出（类）其他政府性基金及对应专项债务收入安排的支出（款）其他地方自行试点项目收益专项债券收入安排的支出（项）：指其他地方自行试点项目收益专项债务收入安排的支出。</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30.基本支出：指为保障机构正常运转、完成日常工作任务而发生的人员支出和公用支出。</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31.项目支出：指在基本支出之外为完成特定行政任务和事业发展目标所发生的支出。</w:t>
      </w:r>
    </w:p>
    <w:p>
      <w:pPr>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32.经营支出：指事业单位在专业业务活动及其辅助活动之外开展非独立核算经营活动发生的支出。</w:t>
      </w:r>
    </w:p>
    <w:p>
      <w:pPr>
        <w:pStyle w:val="45"/>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kern w:val="2"/>
          <w:sz w:val="32"/>
          <w:szCs w:val="32"/>
        </w:rPr>
      </w:pPr>
      <w:r>
        <w:rPr>
          <w:rFonts w:hint="default" w:ascii="Times New Roman" w:hAnsi="Times New Roman" w:eastAsia="仿宋_GB2312" w:cs="Times New Roman"/>
          <w:b w:val="0"/>
          <w:bCs w:val="0"/>
          <w:kern w:val="2"/>
          <w:sz w:val="32"/>
          <w:szCs w:val="32"/>
        </w:rPr>
        <w:t>33.“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45"/>
        <w:pageBreakBefore w:val="0"/>
        <w:kinsoku/>
        <w:wordWrap/>
        <w:overflowPunct/>
        <w:topLinePunct w:val="0"/>
        <w:bidi w:val="0"/>
        <w:spacing w:line="578" w:lineRule="exact"/>
        <w:ind w:firstLine="640" w:firstLineChars="200"/>
        <w:textAlignment w:val="auto"/>
        <w:rPr>
          <w:rFonts w:hint="default" w:ascii="Times New Roman" w:hAnsi="Times New Roman" w:eastAsia="仿宋_GB2312" w:cs="Times New Roman"/>
          <w:b w:val="0"/>
          <w:bCs w:val="0"/>
          <w:kern w:val="2"/>
          <w:sz w:val="32"/>
          <w:szCs w:val="32"/>
        </w:rPr>
      </w:pPr>
      <w:r>
        <w:rPr>
          <w:rFonts w:hint="default" w:ascii="Times New Roman" w:hAnsi="Times New Roman" w:eastAsia="仿宋_GB2312" w:cs="Times New Roman"/>
          <w:b w:val="0"/>
          <w:bCs w:val="0"/>
          <w:kern w:val="2"/>
          <w:sz w:val="32"/>
          <w:szCs w:val="32"/>
        </w:rPr>
        <w:t>34.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3"/>
        <w:pageBreakBefore w:val="0"/>
        <w:kinsoku/>
        <w:wordWrap/>
        <w:overflowPunct/>
        <w:topLinePunct w:val="0"/>
        <w:autoSpaceDE/>
        <w:autoSpaceDN/>
        <w:bidi w:val="0"/>
        <w:spacing w:before="0" w:after="0" w:line="578" w:lineRule="exact"/>
        <w:textAlignment w:val="auto"/>
        <w:rPr>
          <w:rFonts w:hint="default" w:ascii="Times New Roman" w:hAnsi="Times New Roman" w:eastAsia="仿宋_GB2312" w:cs="Times New Roman"/>
          <w:b w:val="0"/>
          <w:bCs w:val="0"/>
          <w:sz w:val="32"/>
          <w:szCs w:val="32"/>
        </w:rPr>
      </w:pPr>
      <w:bookmarkStart w:id="101" w:name="_Toc15377226"/>
      <w:r>
        <w:rPr>
          <w:rFonts w:hint="default" w:ascii="Times New Roman" w:hAnsi="Times New Roman" w:eastAsia="仿宋_GB2312" w:cs="Times New Roman"/>
          <w:b w:val="0"/>
          <w:bCs w:val="0"/>
          <w:sz w:val="32"/>
          <w:szCs w:val="32"/>
        </w:rPr>
        <w:br w:type="page"/>
      </w:r>
      <w:bookmarkStart w:id="102" w:name="_Toc15396614"/>
      <w:bookmarkStart w:id="103" w:name="_Toc149227154"/>
      <w:r>
        <w:rPr>
          <w:rFonts w:hint="default" w:ascii="Times New Roman" w:hAnsi="Times New Roman" w:eastAsia="方正黑体_GBK" w:cs="Times New Roman"/>
          <w:b w:val="0"/>
          <w:bCs w:val="0"/>
          <w:sz w:val="32"/>
          <w:szCs w:val="32"/>
        </w:rPr>
        <w:t>第四部分附件</w:t>
      </w:r>
      <w:bookmarkEnd w:id="102"/>
      <w:bookmarkEnd w:id="103"/>
    </w:p>
    <w:p>
      <w:pPr>
        <w:pStyle w:val="4"/>
        <w:pageBreakBefore w:val="0"/>
        <w:kinsoku/>
        <w:wordWrap/>
        <w:overflowPunct/>
        <w:topLinePunct w:val="0"/>
        <w:autoSpaceDE/>
        <w:autoSpaceDN/>
        <w:bidi w:val="0"/>
        <w:adjustRightInd w:val="0"/>
        <w:snapToGrid/>
        <w:spacing w:before="0" w:after="0" w:line="578" w:lineRule="exact"/>
        <w:jc w:val="center"/>
        <w:textAlignment w:val="auto"/>
        <w:rPr>
          <w:rFonts w:hint="default" w:ascii="Times New Roman" w:hAnsi="Times New Roman" w:eastAsia="方正小标宋_GBK" w:cs="Times New Roman"/>
          <w:b w:val="0"/>
          <w:bCs w:val="0"/>
          <w:sz w:val="44"/>
          <w:szCs w:val="44"/>
        </w:rPr>
      </w:pPr>
      <w:bookmarkStart w:id="104" w:name="_Toc149227155"/>
      <w:r>
        <w:rPr>
          <w:rFonts w:hint="default" w:ascii="Times New Roman" w:hAnsi="Times New Roman" w:eastAsia="方正小标宋_GBK" w:cs="Times New Roman"/>
          <w:b w:val="0"/>
          <w:bCs w:val="0"/>
          <w:sz w:val="44"/>
          <w:szCs w:val="44"/>
        </w:rPr>
        <w:t>2022年泸县自然资源和规划局部门整体绩效评价报告</w:t>
      </w:r>
      <w:bookmarkEnd w:id="104"/>
    </w:p>
    <w:p>
      <w:pPr>
        <w:pageBreakBefore w:val="0"/>
        <w:widowControl/>
        <w:kinsoku/>
        <w:wordWrap/>
        <w:overflowPunct/>
        <w:topLinePunct w:val="0"/>
        <w:autoSpaceDE/>
        <w:autoSpaceDN/>
        <w:bidi w:val="0"/>
        <w:adjustRightInd w:val="0"/>
        <w:snapToGrid/>
        <w:spacing w:line="578" w:lineRule="exact"/>
        <w:jc w:val="center"/>
        <w:textAlignment w:val="auto"/>
        <w:rPr>
          <w:rFonts w:hint="default" w:ascii="Times New Roman" w:hAnsi="Times New Roman" w:eastAsia="楷体_GB2312" w:cs="Times New Roman"/>
          <w:b w:val="0"/>
          <w:bCs w:val="0"/>
          <w:color w:val="000000"/>
          <w:sz w:val="32"/>
          <w:szCs w:val="32"/>
        </w:rPr>
      </w:pPr>
      <w:r>
        <w:rPr>
          <w:rFonts w:hint="default" w:ascii="Times New Roman" w:hAnsi="Times New Roman" w:eastAsia="楷体_GB2312" w:cs="Times New Roman"/>
          <w:b w:val="0"/>
          <w:bCs w:val="0"/>
          <w:color w:val="000000"/>
          <w:sz w:val="32"/>
          <w:szCs w:val="32"/>
        </w:rPr>
        <w:t>（报告范围包括机关和下属单位）</w:t>
      </w:r>
    </w:p>
    <w:p>
      <w:pPr>
        <w:pStyle w:val="2"/>
        <w:rPr>
          <w:rFonts w:hint="default" w:ascii="Times New Roman" w:hAnsi="Times New Roman" w:cs="Times New Roman"/>
        </w:rPr>
      </w:pPr>
    </w:p>
    <w:p>
      <w:pPr>
        <w:pageBreakBefore w:val="0"/>
        <w:widowControl/>
        <w:numPr>
          <w:ilvl w:val="0"/>
          <w:numId w:val="3"/>
        </w:numPr>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方正黑体_GBK" w:cs="Times New Roman"/>
          <w:b w:val="0"/>
          <w:bCs w:val="0"/>
          <w:color w:val="000000"/>
          <w:sz w:val="32"/>
          <w:szCs w:val="32"/>
        </w:rPr>
      </w:pPr>
      <w:r>
        <w:rPr>
          <w:rFonts w:hint="default" w:ascii="Times New Roman" w:hAnsi="Times New Roman" w:eastAsia="方正黑体_GBK" w:cs="Times New Roman"/>
          <w:b w:val="0"/>
          <w:bCs w:val="0"/>
          <w:color w:val="000000"/>
          <w:sz w:val="32"/>
          <w:szCs w:val="32"/>
        </w:rPr>
        <w:t>部门（单位）基本情况</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楷体_GB2312" w:cs="Times New Roman"/>
          <w:b w:val="0"/>
          <w:bCs w:val="0"/>
          <w:color w:val="000000"/>
          <w:sz w:val="32"/>
          <w:szCs w:val="32"/>
        </w:rPr>
      </w:pPr>
      <w:r>
        <w:rPr>
          <w:rFonts w:hint="default" w:ascii="Times New Roman" w:hAnsi="Times New Roman" w:eastAsia="楷体_GB2312" w:cs="Times New Roman"/>
          <w:b w:val="0"/>
          <w:bCs w:val="0"/>
          <w:color w:val="000000"/>
          <w:sz w:val="32"/>
          <w:szCs w:val="32"/>
        </w:rPr>
        <w:t>（一）机构组成</w:t>
      </w:r>
    </w:p>
    <w:p>
      <w:pPr>
        <w:pageBreakBefore w:val="0"/>
        <w:kinsoku/>
        <w:wordWrap/>
        <w:overflowPunct/>
        <w:topLinePunct w:val="0"/>
        <w:autoSpaceDE/>
        <w:autoSpaceDN/>
        <w:bidi w:val="0"/>
        <w:spacing w:line="578" w:lineRule="exact"/>
        <w:ind w:firstLine="800" w:firstLineChars="25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color w:val="000000"/>
          <w:kern w:val="0"/>
          <w:sz w:val="32"/>
          <w:szCs w:val="32"/>
          <w:shd w:val="clear" w:color="auto" w:fill="FFFFFF"/>
        </w:rPr>
        <w:t>自然资源和规划局属行政单位，下</w:t>
      </w:r>
      <w:r>
        <w:rPr>
          <w:rFonts w:hint="default" w:ascii="Times New Roman" w:hAnsi="Times New Roman" w:eastAsia="仿宋_GB2312" w:cs="Times New Roman"/>
          <w:b w:val="0"/>
          <w:bCs w:val="0"/>
          <w:sz w:val="32"/>
          <w:szCs w:val="32"/>
        </w:rPr>
        <w:t>属</w:t>
      </w:r>
      <w:r>
        <w:rPr>
          <w:rFonts w:hint="default" w:ascii="Times New Roman" w:hAnsi="Times New Roman" w:eastAsia="仿宋_GB2312" w:cs="Times New Roman"/>
          <w:b w:val="0"/>
          <w:bCs w:val="0"/>
          <w:color w:val="000000"/>
          <w:kern w:val="0"/>
          <w:sz w:val="32"/>
          <w:szCs w:val="32"/>
          <w:shd w:val="clear" w:color="auto" w:fill="FFFFFF"/>
        </w:rPr>
        <w:t>二级</w:t>
      </w:r>
      <w:r>
        <w:rPr>
          <w:rFonts w:hint="default" w:ascii="Times New Roman" w:hAnsi="Times New Roman" w:eastAsia="仿宋_GB2312" w:cs="Times New Roman"/>
          <w:b w:val="0"/>
          <w:bCs w:val="0"/>
          <w:sz w:val="32"/>
          <w:szCs w:val="32"/>
        </w:rPr>
        <w:t>单位7个，其中参照公务员法管理的事业单位2个，其他事业单位5个。</w:t>
      </w:r>
    </w:p>
    <w:p>
      <w:pPr>
        <w:pageBreakBefore w:val="0"/>
        <w:kinsoku/>
        <w:wordWrap/>
        <w:overflowPunct/>
        <w:topLinePunct w:val="0"/>
        <w:autoSpaceDE/>
        <w:autoSpaceDN/>
        <w:bidi w:val="0"/>
        <w:adjustRightInd w:val="0"/>
        <w:snapToGrid w:val="0"/>
        <w:spacing w:line="578" w:lineRule="exact"/>
        <w:ind w:firstLine="800" w:firstLineChars="25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color w:val="000000"/>
          <w:sz w:val="32"/>
          <w:szCs w:val="32"/>
          <w:shd w:val="clear" w:color="auto" w:fill="FFFFFF"/>
        </w:rPr>
        <w:t>下属参照公务员法管理的事业</w:t>
      </w:r>
      <w:r>
        <w:rPr>
          <w:rFonts w:hint="default" w:ascii="Times New Roman" w:hAnsi="Times New Roman" w:eastAsia="仿宋_GB2312" w:cs="Times New Roman"/>
          <w:b w:val="0"/>
          <w:bCs w:val="0"/>
          <w:sz w:val="32"/>
          <w:szCs w:val="32"/>
        </w:rPr>
        <w:t>分别为泸县国土资源执法监察大队、泸县森林植物病虫防治检疫站。其他事业单位分别为泸县林业科技推广站、泸县国有林场、泸县自然资源所、泸县不动产登记中心、泸县自然资源和规划综合服务中心。</w:t>
      </w:r>
    </w:p>
    <w:p>
      <w:pPr>
        <w:pStyle w:val="46"/>
        <w:pageBreakBefore w:val="0"/>
        <w:kinsoku/>
        <w:wordWrap/>
        <w:overflowPunct/>
        <w:topLinePunct w:val="0"/>
        <w:autoSpaceDE/>
        <w:autoSpaceDN/>
        <w:bidi w:val="0"/>
        <w:adjustRightInd w:val="0"/>
        <w:snapToGrid w:val="0"/>
        <w:spacing w:line="578" w:lineRule="exact"/>
        <w:ind w:firstLine="600"/>
        <w:rPr>
          <w:rFonts w:hint="default" w:ascii="Times New Roman" w:hAnsi="Times New Roman" w:eastAsia="仿宋_GB2312" w:cs="Times New Roman"/>
          <w:b w:val="0"/>
          <w:bCs w:val="0"/>
          <w:color w:val="000000"/>
          <w:kern w:val="0"/>
          <w:sz w:val="32"/>
          <w:szCs w:val="32"/>
          <w:shd w:val="clear" w:color="auto" w:fill="FFFFFF"/>
        </w:rPr>
      </w:pPr>
      <w:r>
        <w:rPr>
          <w:rFonts w:hint="default" w:ascii="Times New Roman" w:hAnsi="Times New Roman" w:eastAsia="仿宋_GB2312" w:cs="Times New Roman"/>
          <w:b w:val="0"/>
          <w:bCs w:val="0"/>
          <w:color w:val="000000"/>
          <w:kern w:val="0"/>
          <w:sz w:val="32"/>
          <w:szCs w:val="32"/>
          <w:shd w:val="clear" w:color="auto" w:fill="FFFFFF"/>
        </w:rPr>
        <w:t>泸县自然资源和规划综合服务中心为一级预算单位，整体绩效等相关信息另行编制。</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楷体_GB2312" w:cs="Times New Roman"/>
          <w:b w:val="0"/>
          <w:bCs w:val="0"/>
          <w:color w:val="000000"/>
          <w:sz w:val="32"/>
          <w:szCs w:val="32"/>
        </w:rPr>
      </w:pPr>
      <w:r>
        <w:rPr>
          <w:rFonts w:hint="default" w:ascii="Times New Roman" w:hAnsi="Times New Roman" w:eastAsia="楷体_GB2312" w:cs="Times New Roman"/>
          <w:b w:val="0"/>
          <w:bCs w:val="0"/>
          <w:color w:val="000000"/>
          <w:sz w:val="32"/>
          <w:szCs w:val="32"/>
        </w:rPr>
        <w:t>（二）机构职能和人员概况</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rPr>
      </w:pPr>
      <w:bookmarkStart w:id="105" w:name="_Toc15377198"/>
      <w:bookmarkStart w:id="106" w:name="_Toc15378445"/>
      <w:r>
        <w:rPr>
          <w:rFonts w:hint="default" w:ascii="Times New Roman" w:hAnsi="Times New Roman" w:eastAsia="仿宋_GB2312" w:cs="Times New Roman"/>
          <w:b w:val="0"/>
          <w:bCs w:val="0"/>
          <w:kern w:val="0"/>
          <w:sz w:val="32"/>
          <w:szCs w:val="32"/>
        </w:rPr>
        <w:t>1</w:t>
      </w:r>
      <w:r>
        <w:rPr>
          <w:rFonts w:hint="default" w:ascii="Times New Roman" w:hAnsi="Times New Roman" w:eastAsia="仿宋_GB2312" w:cs="Times New Roman"/>
          <w:b w:val="0"/>
          <w:bCs w:val="0"/>
          <w:kern w:val="0"/>
          <w:sz w:val="32"/>
          <w:szCs w:val="32"/>
          <w:lang w:val="en-US" w:eastAsia="zh-CN"/>
        </w:rPr>
        <w:t xml:space="preserve">. </w:t>
      </w:r>
      <w:r>
        <w:rPr>
          <w:rFonts w:hint="default" w:ascii="Times New Roman" w:hAnsi="Times New Roman" w:eastAsia="仿宋_GB2312" w:cs="Times New Roman"/>
          <w:b w:val="0"/>
          <w:bCs w:val="0"/>
          <w:kern w:val="0"/>
          <w:sz w:val="32"/>
          <w:szCs w:val="32"/>
        </w:rPr>
        <w:t>主要职能。</w:t>
      </w:r>
    </w:p>
    <w:bookmarkEnd w:id="105"/>
    <w:bookmarkEnd w:id="106"/>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1）按规定权限，履行全民所有土地、矿产、森林、湿地、水等自然资源资产所有者职责和所有国土空间用途管制职责。履行国土空间规划管理和监督检查职责。拟订自然资源和国土空间规划有关政策措施并监督检查执行情况。</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2）负责全县自然资源调查监测评价。依照自然资源调查监测评价的指标体系和统计标准，贯彻执行上级统一规范的自然资源调查监测评价制度。实施自然资源基础调查、专项调查和监测。负责自然资源调查监测评价成果的监督管理和信息发布。</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3）负责全县自然资源统一确权登记工作。贯彻落实并组织实施各类自然资源和不动产统一确权登记、权籍调查、不动产测绘、争议调处、成果应用的制度、标准、规范。建立健全全县自然资源和不动产登记信息管理基础平台。负责自然资源和不动产登记资料收集、整理、共享、汇交管理等。指导监督自然资源和不动产确权登记工作。</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4）负责全县自然资源资产有偿使用工作。贯彻执行全民所有自然资源资产统计制度，负责全民所有自然资源资产核算。编制全民所有自然资源资产负债表，依照有关标准组织考核。按照规定权限，制定全民所有自然资源资产划拨、出让、租赁、作价出资和土地储备政策，合理配置全民所有自然资源资产。负责自然资源资产价值评估管理，依法收缴相关资产收益。</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5）负责全县自然资源的合理开发利用。贯彻执行自然资源发展规划和战略，贯彻落实自然资源开发利用地方标准，建立政府公示自然资源价格体系，组织开展自然资源分等定级价格评估，开展自然资源利用评价考核，指导节约集约利用。负责自然资源市场监管。组织研究自然资源管理涉及宏观调控、区域协调和城乡统筹的政策措施。</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6）负责建立全县空间规划体系并监督实施。推进落实主体功能区战略和制度，组织编制并监督实施国土空间规划和相关专项规划，分区规划、控制性详细规划，统筹衔接其他种类专项规划。开展国土空间开发适宜性评价，建立国土空间规划实施监测、评估和预警体系。组织划定生态保护红线、永久基本农田、城镇开发边界等控制线，构建节约资源和保护环境的生产、生活、生态空间布局。建立健全国土空间用途管制制度，研究拟订城乡规划政策并监督实施。组织拟订并实施土地等自然资源年度利用计划。负责土地等国土空间用途转用工作。</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7）负责规划区内建筑物、构筑物、园林绿化、道路、管线等工程和临时建设的规划管理；负责城乡规划编制单位的资质管理；负责历史文化名城、历史风貌保护区、历史文化名镇、优秀历史建筑和全县历史文物古迹的规划管理;依法实行建设项目选址意见书、建设用地规划许可证、建设工程规划许可证、乡村建设规划许可证管理制度；对建设项目审批后到竣工验收前规划执行情况实行跟踪监督。</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8）负责统筹全县国土空间和林业生态修复。牵头组织编制全县国土空间生态修复规划并实施有关生态修复重大工程。负责开展国土空间综合整治、土地整理复垦、矿山地质环境恢复治理等工作。牵头建立和实施生态保护补偿制度，制定合理利用社会资金进行生态修复的政策措施，提出重大备选项目。组织实施林业生态补偿。牵头负责生态扶贫工作。</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9）负责组织实施最严格的耕地保护制度。牵头拟订并实施全县耕地保护政策，负责耕地数量、质量、生态保护。组织实施耕地保护责任目标考核和永久基本农田特殊保护。完善耕地占补平衡制度，监督占用耕地补偿制度执行情况。负责土地征收征用管理。</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10）负责管理全县地质勘查行业和地质工作。拟订全县地质勘查规划并监督检查执行情况。管理县级地质勘查项目。组织实施重大地质矿产勘查专项。负责地质灾害预防和治理，监督管理地下水过量开采及引发的地面沉降等地质问题。负责古生物化石的监督管理。</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11）负责落实综合防灾减灾规划相关要求，组织编制并实施地质灾害防治规划和防护标准。组织、指导、协调和监督地质灾害调查评价及隐患的普查、详查、排查。组织、指导开展群测群防、专业监测和预报预警等工作，组织、指导开展地质灾害工程治理工作。承担地质灾害应急救援的技术保障工作。</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12）负责全县矿产资源管理工作。负责矿产资源储量管理，配合做好压覆矿产资源审批。负责矿业权管理。会同有关部门承担保护性开采的特定矿种、优势矿产的调控及相关管理工作。监督指导矿产资源合理利用和保护。</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13）推动全县自然资源和规划领域科技发展和对外合作。制定并实施自然资源和规划、林业领域科技创新发展和人才培养规划、计划。贯彻落实上级标准、规程规范并监督实施。组织实施重大科技专项及创新能力建设，推进自然资源和规划信息化和信息资料的公共服务。指导全县林业科技、教育工作。推进林业数字化建设。组织开展林业区域协作事务。组织开展全县自然资源和规划、林业系统对外交流合作。</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14）配合国家对镇（街道）政府（办事处）落实党中央、国务院、省委省政府和市委市政府关于自然资源和国土空间规划的重大方针政策、决策部署及法律法规执行情况进行督察。按照县委、县政府安排，组织实施自然资源和规划督察相关工作。查处全县自然资源开发利用等领域违法案件。指导自然资源领域有关行政执法工作。</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 xml:space="preserve">（15）负责全县林业建设管理工作。拟订全县林业发展政策、规划、改革方案，并指导实施。 </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16）组织全县林业生态保护修复工作。组织实施退耕还林、天然林保护等重点生态保护修复工程。指导公益林和商品林的培育。指导监督全民义务植树、城乡绿化。指导以植树造林等生物措施防治水土流失、防治荒漠化、防沙治沙工作。指导林业有害生物防治检疫和国有林场、基层林业站的建设管理。</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（17）负责全县林业行业行政审批和行政执法监督工作。负责行政诉讼、行政复议工作。监督管理行政执法、行政处罚工作。指导林业重大违法案件的查处。指导全面依法治林工作和林区社会治安综合治理。</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18）负责全县森林、湿地资源的监督管理工作。组织开展森林、湿地和陆生野生动植物资源动态监测与评价。监督管理全县森林采伐限额计划执行和林木的凭证采伐、运输、经营加工。拟订林地保护利用规划并监督管理。组织实施公益林划定和管理。负责湿地生态保护修复，监督管理湿地的开发利用。</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19）指导监督管理全县自然保护区、风景名胜区、自然遗产、地质公园等各类自然保护地工作等各类自然保护地工作。组织编制各类自然保护地规划并指导实施和监督管理。提出新建、调整各类自然保护地的审核建议并按程序报批。负责生物多样性保护工作。</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20）指导全县林业高质量发展工作。拟订林业产业发展规划、年度实施方案。指导现代林业园区建设、特色经济林、林下经济、花卉、森林康养和生态旅游等产业，推进绿色产业发展。组织指导林竹产品质量监督。</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21）指导全县林业种子管理工作。组织开展林木种子种质资源普查，组织建立种质资源库，负责良种选育推广，管理林木种苗生产经营行为，监管林木种子质量。监督管理林业生物种质资源、转基因生物安全、植物新品种保护。</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22）负责全县陆生野生动植物资源监督管理工作。组织开展陆生野生动植物资源调查，指导陆生野生动植物的救护繁育、栖息地恢复发展、疫源疫病监测，监督管理陆生野生动植物猎捕或采集、驯养繁殖或培植、经营利用。</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（23）负责推进全县林业改革工作。指导林业行业重大改革并监督实施。拟订农村林业发展、维护林业经营者合法权益的政策措施。指导农村林地承包、流转经营改革工作。</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（24）指导全县林业资金和国有资产的监督管理。提出行业预算内投资、全县财政性资金安排建议，按县政府规定权限，核报、核准规划内和年度计划内投资项目。</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25）指导全县林业行业安全管理工作。组织编制并实施森林火灾防治规划；组织指导开展防火巡护、火源管理、防火设施建设等工作。负责森林火情监测预警、火灾预防工作，发送森林火险信息。组织指导国有林场林区森林防火宣传教育、监测预警、督促检查等防火工作，维护林区安全。</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（26）、负责职责范围内的安全生产和职业健康、生态环境保护、审批服务便民化等工作。</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（27）指导全县森林公安工作，监督管理森林公安队伍。</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（28）完成县委、县政府交办的其他任务。</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 xml:space="preserve">（29）职能转变。落实关于统一行使全民所有自然资源资产所有者职责，统一行使所有国土空间用途管制和生态保护修复职责的要求，发挥国土空间规划的管控作用，为保护和合理开发利用自然资源提供科学指引。进一步加强自然资源的保护和合理开发利用，建立健全源头保护和全过程修复治理相结合的工作机制，实现整体保护、系统修复、综合治理。创新激励约束并举的制度措施，推进自然资源节约集约利用。进一步精简下放有关行政审批事项、强化监管力度，充分发挥市场对资源配置的决定性作用，更好发挥政府作用，强化自然资源管理规则、标准、制度的约束性作用，推进自然资源确权登记和评估的便民高效。围绕高质量筑牢长江上游生态屏障，加强森林、湿地监督管理的统筹协调，切实加大生态系统保护修复力度，高质量实施绿化泸县行动，高水平推进数字林业产业发展，加快实现林业竹业生态、经济、社会三大效益。统一推进全县各类自然保护地的清理规范和归并整合工作。做好花卉产业发展归口管理服务工作。 </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（30）在自然灾害防救方面的职责分工。</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县应急局与县自然资源和规划局、县水务局等部门要做到各司其职、无缝对接。县应急局负责统一组织、统一指挥、统一协调自然灾害类突发事件应急救援救灾工作。县自然资源和规划局、县水务局依法依规承担相关行业领域的灾害监测、预警、防治工作及抢险救援的技术保障工作。以提请县应急局，以县应急指挥机构名义部署相关防治工作。</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lang w:eastAsia="zh-CN"/>
        </w:rPr>
        <w:t>（</w:t>
      </w:r>
      <w:r>
        <w:rPr>
          <w:rFonts w:hint="default" w:ascii="Times New Roman" w:hAnsi="Times New Roman" w:eastAsia="仿宋_GB2312" w:cs="Times New Roman"/>
          <w:b w:val="0"/>
          <w:bCs w:val="0"/>
          <w:kern w:val="0"/>
          <w:sz w:val="32"/>
          <w:szCs w:val="32"/>
          <w:lang w:val="en-US" w:eastAsia="zh-CN"/>
        </w:rPr>
        <w:t>31</w:t>
      </w:r>
      <w:r>
        <w:rPr>
          <w:rFonts w:hint="default" w:ascii="Times New Roman" w:hAnsi="Times New Roman" w:eastAsia="仿宋_GB2312" w:cs="Times New Roman"/>
          <w:b w:val="0"/>
          <w:bCs w:val="0"/>
          <w:kern w:val="0"/>
          <w:sz w:val="32"/>
          <w:szCs w:val="32"/>
          <w:lang w:eastAsia="zh-CN"/>
        </w:rPr>
        <w:t>）</w:t>
      </w:r>
      <w:r>
        <w:rPr>
          <w:rFonts w:hint="default" w:ascii="Times New Roman" w:hAnsi="Times New Roman" w:eastAsia="仿宋_GB2312" w:cs="Times New Roman"/>
          <w:b w:val="0"/>
          <w:bCs w:val="0"/>
          <w:kern w:val="0"/>
          <w:sz w:val="32"/>
          <w:szCs w:val="32"/>
        </w:rPr>
        <w:t>土地统征和储备相关职能</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w:t>
      </w:r>
      <w:r>
        <w:rPr>
          <w:rFonts w:hint="default" w:ascii="Times New Roman" w:hAnsi="Times New Roman" w:cs="Times New Roman"/>
          <w:b w:val="0"/>
          <w:bCs w:val="0"/>
          <w:sz w:val="32"/>
          <w:szCs w:val="32"/>
          <w:lang w:val="en-US" w:eastAsia="zh-CN"/>
        </w:rPr>
        <w:t>.</w:t>
      </w:r>
      <w:r>
        <w:rPr>
          <w:rFonts w:hint="default" w:ascii="Times New Roman" w:hAnsi="Times New Roman" w:eastAsia="仿宋_GB2312" w:cs="Times New Roman"/>
          <w:b w:val="0"/>
          <w:bCs w:val="0"/>
          <w:sz w:val="32"/>
          <w:szCs w:val="32"/>
        </w:rPr>
        <w:t>人员情况</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2022年12月，我局核定总编制225名，其中：行政编制22名，参公编制41名，事业编制162名。在职人员总数219人，其中：行政人员22人，参公人员30人，事业人员167人；退休人员159人。</w:t>
      </w:r>
    </w:p>
    <w:p>
      <w:pPr>
        <w:pageBreakBefore w:val="0"/>
        <w:widowControl/>
        <w:kinsoku/>
        <w:wordWrap/>
        <w:overflowPunct/>
        <w:topLinePunct w:val="0"/>
        <w:autoSpaceDE/>
        <w:autoSpaceDN/>
        <w:bidi w:val="0"/>
        <w:adjustRightInd w:val="0"/>
        <w:snapToGrid w:val="0"/>
        <w:spacing w:line="578" w:lineRule="exact"/>
        <w:ind w:firstLine="640" w:firstLineChars="200"/>
        <w:jc w:val="left"/>
        <w:rPr>
          <w:rFonts w:hint="default" w:ascii="Times New Roman" w:hAnsi="Times New Roman" w:eastAsia="楷体_GB2312" w:cs="Times New Roman"/>
          <w:b w:val="0"/>
          <w:bCs w:val="0"/>
          <w:kern w:val="0"/>
          <w:sz w:val="32"/>
          <w:szCs w:val="32"/>
        </w:rPr>
      </w:pPr>
      <w:r>
        <w:rPr>
          <w:rFonts w:hint="default" w:ascii="Times New Roman" w:hAnsi="Times New Roman" w:eastAsia="楷体_GB2312" w:cs="Times New Roman"/>
          <w:b w:val="0"/>
          <w:bCs w:val="0"/>
          <w:kern w:val="0"/>
          <w:sz w:val="32"/>
          <w:szCs w:val="32"/>
        </w:rPr>
        <w:t>（三）年度主要工作任务</w:t>
      </w:r>
    </w:p>
    <w:p>
      <w:pPr>
        <w:pStyle w:val="17"/>
        <w:pageBreakBefore w:val="0"/>
        <w:kinsoku/>
        <w:wordWrap/>
        <w:overflowPunct/>
        <w:topLinePunct w:val="0"/>
        <w:autoSpaceDE/>
        <w:autoSpaceDN/>
        <w:bidi w:val="0"/>
        <w:spacing w:line="578" w:lineRule="exact"/>
        <w:ind w:left="0" w:leftChars="0" w:firstLine="6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保障部门本级及下属预算单位人员类、公用经费等运转类支出。</w:t>
      </w:r>
    </w:p>
    <w:p>
      <w:pPr>
        <w:pStyle w:val="17"/>
        <w:pageBreakBefore w:val="0"/>
        <w:kinsoku/>
        <w:wordWrap/>
        <w:overflowPunct/>
        <w:topLinePunct w:val="0"/>
        <w:autoSpaceDE/>
        <w:autoSpaceDN/>
        <w:bidi w:val="0"/>
        <w:spacing w:line="578" w:lineRule="exact"/>
        <w:ind w:left="0" w:leftChars="0" w:firstLine="6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全面加强耕地保护力度，全面提升土地利用水平， 全面落实国土空间管控，全面强化土地执法监察工作。</w:t>
      </w:r>
    </w:p>
    <w:p>
      <w:pPr>
        <w:pageBreakBefore w:val="0"/>
        <w:widowControl/>
        <w:kinsoku/>
        <w:wordWrap/>
        <w:overflowPunct/>
        <w:topLinePunct w:val="0"/>
        <w:autoSpaceDE/>
        <w:autoSpaceDN/>
        <w:bidi w:val="0"/>
        <w:adjustRightInd w:val="0"/>
        <w:snapToGrid w:val="0"/>
        <w:spacing w:line="578" w:lineRule="exact"/>
        <w:ind w:firstLine="640" w:firstLineChars="200"/>
        <w:jc w:val="left"/>
        <w:rPr>
          <w:rFonts w:hint="default" w:ascii="Times New Roman" w:hAnsi="Times New Roman" w:eastAsia="楷体_GB2312" w:cs="Times New Roman"/>
          <w:b w:val="0"/>
          <w:bCs w:val="0"/>
          <w:kern w:val="0"/>
          <w:sz w:val="32"/>
          <w:szCs w:val="32"/>
        </w:rPr>
      </w:pPr>
      <w:r>
        <w:rPr>
          <w:rFonts w:hint="default" w:ascii="Times New Roman" w:hAnsi="Times New Roman" w:eastAsia="楷体_GB2312" w:cs="Times New Roman"/>
          <w:b w:val="0"/>
          <w:bCs w:val="0"/>
          <w:kern w:val="0"/>
          <w:sz w:val="32"/>
          <w:szCs w:val="32"/>
        </w:rPr>
        <w:t>（四）部门整体支出绩效目标</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保障全县生态修复、土地整治、开发、复垦项目规划，全力保障项目用地。保障各类数据库建设和维护，做好储备土地管理工作，破解储备土地管理难题，土地收储工作制度化规范化管理。优化资源配置，保障县域发展，严格资源管控，促进依法行政。强化自然资源执法监督，推进全域土地综合整治，加快我县生态文明建设。</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方正黑体_GBK" w:cs="Times New Roman"/>
          <w:b w:val="0"/>
          <w:bCs w:val="0"/>
          <w:color w:val="000000"/>
          <w:sz w:val="32"/>
          <w:szCs w:val="32"/>
        </w:rPr>
      </w:pPr>
      <w:r>
        <w:rPr>
          <w:rFonts w:hint="default" w:ascii="Times New Roman" w:hAnsi="Times New Roman" w:eastAsia="方正黑体_GBK" w:cs="Times New Roman"/>
          <w:b w:val="0"/>
          <w:bCs w:val="0"/>
          <w:color w:val="000000"/>
          <w:sz w:val="32"/>
          <w:szCs w:val="32"/>
        </w:rPr>
        <w:t>二、部门资金收支情况</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楷体_GB2312" w:cs="Times New Roman"/>
          <w:b w:val="0"/>
          <w:bCs w:val="0"/>
          <w:color w:val="000000"/>
          <w:sz w:val="32"/>
          <w:szCs w:val="32"/>
        </w:rPr>
      </w:pPr>
      <w:r>
        <w:rPr>
          <w:rFonts w:hint="default" w:ascii="Times New Roman" w:hAnsi="Times New Roman" w:eastAsia="楷体_GB2312" w:cs="Times New Roman"/>
          <w:b w:val="0"/>
          <w:bCs w:val="0"/>
          <w:color w:val="000000"/>
          <w:sz w:val="32"/>
          <w:szCs w:val="32"/>
        </w:rPr>
        <w:t>（一）部门总体收支情况</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w:t>
      </w:r>
      <w:r>
        <w:rPr>
          <w:rFonts w:hint="default" w:ascii="Times New Roman" w:hAnsi="Times New Roman" w:eastAsia="仿宋_GB2312" w:cs="Times New Roman"/>
          <w:b w:val="0"/>
          <w:bCs w:val="0"/>
          <w:color w:val="000000"/>
          <w:sz w:val="32"/>
          <w:szCs w:val="32"/>
          <w:lang w:val="en-US" w:eastAsia="zh-CN"/>
        </w:rPr>
        <w:t xml:space="preserve"> </w:t>
      </w:r>
      <w:r>
        <w:rPr>
          <w:rFonts w:hint="default" w:ascii="Times New Roman" w:hAnsi="Times New Roman" w:eastAsia="仿宋_GB2312" w:cs="Times New Roman"/>
          <w:b w:val="0"/>
          <w:bCs w:val="0"/>
          <w:color w:val="000000"/>
          <w:sz w:val="32"/>
          <w:szCs w:val="32"/>
        </w:rPr>
        <w:t>部门总体收入情况</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自然资源和规划局2022年总计收入9121.43万元。其中一般公共预算财政拨款收入7921.8万元，政府性基金预算财政拨款收入1047.55万元，年初结转和结余152.08万元。</w:t>
      </w:r>
    </w:p>
    <w:p>
      <w:pPr>
        <w:pageBreakBefore w:val="0"/>
        <w:widowControl/>
        <w:numPr>
          <w:ilvl w:val="0"/>
          <w:numId w:val="4"/>
        </w:numPr>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部门总体支出情况</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自然资源和规划局2022年总计支出9121.43万元。</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按功能分类支出为：社会保障和就业支出131.57万元，卫生健康支出37.64万元，城乡社区支出300万元，农林水支出4350.92万元，自然资源海洋气象等支出3093.87万元，灾害防治及应急管理支出459.88万元，其他支出747.55万元。</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按支出性质和经济分类为：</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基本支出2961.7万元，其中人员经费2696.13万元，公用经费265.57万元。</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项目支出6159.73万元。</w:t>
      </w:r>
    </w:p>
    <w:p>
      <w:pPr>
        <w:pageBreakBefore w:val="0"/>
        <w:widowControl/>
        <w:numPr>
          <w:ilvl w:val="0"/>
          <w:numId w:val="4"/>
        </w:numPr>
        <w:kinsoku/>
        <w:wordWrap/>
        <w:overflowPunct/>
        <w:topLinePunct w:val="0"/>
        <w:autoSpaceDE/>
        <w:autoSpaceDN/>
        <w:bidi w:val="0"/>
        <w:adjustRightInd w:val="0"/>
        <w:snapToGrid w:val="0"/>
        <w:spacing w:line="578" w:lineRule="exact"/>
        <w:ind w:left="0" w:leftChars="0"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部门总体结转结余情况</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自然资源和规划局2022年年末结转和结余0万元。</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楷体_GB2312" w:cs="Times New Roman"/>
          <w:b w:val="0"/>
          <w:bCs w:val="0"/>
          <w:color w:val="000000"/>
          <w:sz w:val="32"/>
          <w:szCs w:val="32"/>
        </w:rPr>
      </w:pPr>
      <w:r>
        <w:rPr>
          <w:rFonts w:hint="default" w:ascii="Times New Roman" w:hAnsi="Times New Roman" w:eastAsia="楷体_GB2312" w:cs="Times New Roman"/>
          <w:b w:val="0"/>
          <w:bCs w:val="0"/>
          <w:color w:val="000000"/>
          <w:sz w:val="32"/>
          <w:szCs w:val="32"/>
        </w:rPr>
        <w:t>（二）部门财政拨款收支情况</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w:t>
      </w:r>
      <w:r>
        <w:rPr>
          <w:rFonts w:hint="default" w:ascii="Times New Roman" w:hAnsi="Times New Roman" w:eastAsia="仿宋_GB2312" w:cs="Times New Roman"/>
          <w:b w:val="0"/>
          <w:bCs w:val="0"/>
          <w:color w:val="000000"/>
          <w:sz w:val="32"/>
          <w:szCs w:val="32"/>
          <w:lang w:val="en-US" w:eastAsia="zh-CN"/>
        </w:rPr>
        <w:t xml:space="preserve"> </w:t>
      </w:r>
      <w:r>
        <w:rPr>
          <w:rFonts w:hint="default" w:ascii="Times New Roman" w:hAnsi="Times New Roman" w:eastAsia="仿宋_GB2312" w:cs="Times New Roman"/>
          <w:b w:val="0"/>
          <w:bCs w:val="0"/>
          <w:color w:val="000000"/>
          <w:sz w:val="32"/>
          <w:szCs w:val="32"/>
        </w:rPr>
        <w:t>部门财政拨款收入情况</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自然资源和规划局2022年财政拨款收入9121.43万元。其中一般公共预算财政拨款收入7921.8万元，政府性基金预算财政拨款收入1047.55万元，年初结转和结余一般公共预算财政拨款收入152.08万元。</w:t>
      </w:r>
    </w:p>
    <w:p>
      <w:pPr>
        <w:pageBreakBefore w:val="0"/>
        <w:widowControl/>
        <w:numPr>
          <w:ilvl w:val="0"/>
          <w:numId w:val="5"/>
        </w:numPr>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部门财政拨款支出情况</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自然资源和规划局2022年</w:t>
      </w:r>
      <w:r>
        <w:rPr>
          <w:rFonts w:hint="default" w:ascii="Times New Roman" w:hAnsi="Times New Roman" w:eastAsia="仿宋_GB2312" w:cs="Times New Roman"/>
          <w:b w:val="0"/>
          <w:bCs w:val="0"/>
          <w:color w:val="000000"/>
          <w:sz w:val="32"/>
          <w:szCs w:val="32"/>
        </w:rPr>
        <w:t>财政拨款</w:t>
      </w:r>
      <w:r>
        <w:rPr>
          <w:rFonts w:hint="default" w:ascii="Times New Roman" w:hAnsi="Times New Roman" w:eastAsia="仿宋_GB2312" w:cs="Times New Roman"/>
          <w:b w:val="0"/>
          <w:bCs w:val="0"/>
          <w:color w:val="000000"/>
          <w:kern w:val="2"/>
          <w:sz w:val="32"/>
          <w:szCs w:val="32"/>
        </w:rPr>
        <w:t>支出9121.43万元。</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按功能分类支出为：社会保障和就业支出131.57万元，卫生健康支出37.64万元，城乡社区支出300万元，农林水支出4350.92万元，自然资源海洋气象等支出3093.87万元，灾害防治及应急管理支出459.88万元，其他支出747.55万元。</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按支出性质和经济分类为：</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基本支出2961.7万元，其中人员经费2696.13万元，公用经费265.57万元。</w:t>
      </w:r>
    </w:p>
    <w:p>
      <w:pPr>
        <w:pStyle w:val="2"/>
        <w:pageBreakBefore w:val="0"/>
        <w:kinsoku/>
        <w:wordWrap/>
        <w:overflowPunct/>
        <w:topLinePunct w:val="0"/>
        <w:autoSpaceDE/>
        <w:autoSpaceDN/>
        <w:bidi w:val="0"/>
        <w:spacing w:line="578" w:lineRule="exact"/>
        <w:ind w:firstLine="480" w:firstLineChars="15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项目支出6159.73万元。</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3.部门财政拨款结转结余情况</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自然资源和规划局2022年年末</w:t>
      </w:r>
      <w:r>
        <w:rPr>
          <w:rFonts w:hint="default" w:ascii="Times New Roman" w:hAnsi="Times New Roman" w:eastAsia="仿宋_GB2312" w:cs="Times New Roman"/>
          <w:b w:val="0"/>
          <w:bCs w:val="0"/>
          <w:color w:val="000000"/>
          <w:sz w:val="32"/>
          <w:szCs w:val="32"/>
        </w:rPr>
        <w:t>财政拨款</w:t>
      </w:r>
      <w:r>
        <w:rPr>
          <w:rFonts w:hint="default" w:ascii="Times New Roman" w:hAnsi="Times New Roman" w:eastAsia="仿宋_GB2312" w:cs="Times New Roman"/>
          <w:b w:val="0"/>
          <w:bCs w:val="0"/>
          <w:color w:val="000000"/>
          <w:kern w:val="2"/>
          <w:sz w:val="32"/>
          <w:szCs w:val="32"/>
        </w:rPr>
        <w:t>结转和结余0万元。</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方正黑体_GBK" w:cs="Times New Roman"/>
          <w:b w:val="0"/>
          <w:bCs w:val="0"/>
          <w:color w:val="000000"/>
          <w:kern w:val="2"/>
          <w:sz w:val="32"/>
          <w:szCs w:val="32"/>
        </w:rPr>
      </w:pPr>
      <w:r>
        <w:rPr>
          <w:rFonts w:hint="default" w:ascii="Times New Roman" w:hAnsi="Times New Roman" w:eastAsia="方正黑体_GBK" w:cs="Times New Roman"/>
          <w:b w:val="0"/>
          <w:bCs w:val="0"/>
          <w:color w:val="000000"/>
          <w:kern w:val="2"/>
          <w:sz w:val="32"/>
          <w:szCs w:val="32"/>
        </w:rPr>
        <w:t>三、部门整体绩效分析</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楷体_GB2312" w:cs="Times New Roman"/>
          <w:b w:val="0"/>
          <w:bCs w:val="0"/>
          <w:color w:val="000000"/>
          <w:sz w:val="32"/>
          <w:szCs w:val="32"/>
        </w:rPr>
      </w:pPr>
      <w:r>
        <w:rPr>
          <w:rFonts w:hint="default" w:ascii="Times New Roman" w:hAnsi="Times New Roman" w:eastAsia="楷体_GB2312" w:cs="Times New Roman"/>
          <w:b w:val="0"/>
          <w:bCs w:val="0"/>
          <w:color w:val="000000"/>
          <w:sz w:val="32"/>
          <w:szCs w:val="32"/>
        </w:rPr>
        <w:t>（一）部门预算项目绩效分析</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1.人员类项目绩效分析</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（1）绩效目标制定</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根据预算绩效管理要求，对年初预算人员类项目编制目标绩效。要素完整，细化量化人员类项目绩效目标。</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（2）目标实现</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部门绩效目标实际实现与预期目标一致，根据制定的绩效目标来实施人员类项目。</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（3）支出控制</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人员经费类全年预算数2696.13万元，与决算数2696.13万元一致。</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（4）及时处置</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部门开展绩效运行监控后，将绩效监控结果应用到预算调整的情况。绩效监控调整取消额与结余注销额均为零。</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（5）执行进度</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2022年财政拨款支出中人员经费决算数2696.13万元。主要为按月支付工资、职工保险、绩效等，均按相关规定及时足额支付、缴纳，于2022年12月完成支付2696.13万元。</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（6）预算完成情况</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人员类预算执行进度为100%。</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（7）资金结余率（低效无效率）。</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人员类无资金结余。</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（8）违规记录</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color w:val="000000"/>
          <w:sz w:val="32"/>
          <w:szCs w:val="32"/>
        </w:rPr>
        <w:t>2022年，人员类预算管理方面无违纪违规问题。</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2.运转类项目绩效分析</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（1）绩效目标制定</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本部门对运转类项目编制了绩效目标，绩效目标填报详细，目标任务制定与国家政策法规、部门职责、部门中长期规划相符，全面反映了部门目标任务完成和预期效益情况，财政资源配置合理。</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（2）目标实现</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运转类项目保障单位履职中办公费、差旅费、公务用车运行维护费等各项基本支出。</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（3）支出控制</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运转类项目全年预算数265.57万元，与决算数265.57一致。</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（4）及时处置</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按照要求，我局开展了绩效运行监控，随时跟进执行情况，对需要调整的项目，及时向财政申请调剂。</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（5）执行进度</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2022年财政拨款支出中运转类项目决算数265.57万元。均按相关规定进度进行支付款项。</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（6）预算完成情况</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运转类预算执行进度为100%。</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（7）资金结余率（低效无效率）。</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运转类无资金结余。</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（8）违规记录</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2022年，运转类预算管理方面无违纪违规问题。</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3.特定目标类项目绩效分析</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（3）支出控制</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运转类项目全年预算数6159.73万元，与决算数6159.73万元金额一致。</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（4）及时处置</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按照要求，我局开展了绩效运行监控，随时跟进执行情况，对需要调整的项目，及时向财政申请调剂。</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（5）执行进度</w:t>
      </w:r>
    </w:p>
    <w:p>
      <w:pPr>
        <w:pageBreakBefore w:val="0"/>
        <w:kinsoku/>
        <w:wordWrap/>
        <w:overflowPunct/>
        <w:topLinePunct w:val="0"/>
        <w:autoSpaceDE/>
        <w:autoSpaceDN/>
        <w:bidi w:val="0"/>
        <w:adjustRightInd w:val="0"/>
        <w:snapToGrid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2022年财政拨款支出中运转类项目决算数6159.73万元。</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（6）预算完成情况</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运转类预算执行进度为100%。</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（7）资金结余率（低效无效率）。</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运转类无资金结余。</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（8）违规记录</w:t>
      </w:r>
    </w:p>
    <w:p>
      <w:pPr>
        <w:pStyle w:val="2"/>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color w:val="000000"/>
          <w:kern w:val="2"/>
          <w:sz w:val="32"/>
          <w:szCs w:val="32"/>
        </w:rPr>
      </w:pPr>
      <w:r>
        <w:rPr>
          <w:rFonts w:hint="default" w:ascii="Times New Roman" w:hAnsi="Times New Roman" w:eastAsia="仿宋_GB2312" w:cs="Times New Roman"/>
          <w:b w:val="0"/>
          <w:bCs w:val="0"/>
          <w:color w:val="000000"/>
          <w:kern w:val="2"/>
          <w:sz w:val="32"/>
          <w:szCs w:val="32"/>
        </w:rPr>
        <w:t>2022年，运转类预算管理方面无违纪违规问题。</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楷体_GB2312" w:cs="Times New Roman"/>
          <w:b w:val="0"/>
          <w:bCs w:val="0"/>
          <w:color w:val="000000"/>
          <w:sz w:val="32"/>
          <w:szCs w:val="32"/>
        </w:rPr>
      </w:pPr>
      <w:r>
        <w:rPr>
          <w:rFonts w:hint="default" w:ascii="Times New Roman" w:hAnsi="Times New Roman" w:eastAsia="楷体_GB2312" w:cs="Times New Roman"/>
          <w:b w:val="0"/>
          <w:bCs w:val="0"/>
          <w:color w:val="000000"/>
          <w:sz w:val="32"/>
          <w:szCs w:val="32"/>
        </w:rPr>
        <w:t>（二）部门整体履职绩效分析</w:t>
      </w:r>
    </w:p>
    <w:p>
      <w:pPr>
        <w:pageBreakBefore w:val="0"/>
        <w:kinsoku/>
        <w:wordWrap/>
        <w:overflowPunct/>
        <w:topLinePunct w:val="0"/>
        <w:autoSpaceDE/>
        <w:autoSpaceDN/>
        <w:bidi w:val="0"/>
        <w:spacing w:line="578" w:lineRule="exact"/>
        <w:ind w:firstLine="640" w:firstLineChars="200"/>
        <w:textAlignment w:val="baseline"/>
        <w:rPr>
          <w:rStyle w:val="51"/>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lang w:val="en-US" w:eastAsia="zh-CN"/>
        </w:rPr>
        <w:t>1.</w:t>
      </w:r>
      <w:r>
        <w:rPr>
          <w:rFonts w:hint="default" w:ascii="Times New Roman" w:hAnsi="Times New Roman" w:eastAsia="仿宋_GB2312" w:cs="Times New Roman"/>
          <w:b w:val="0"/>
          <w:bCs w:val="0"/>
          <w:color w:val="000000"/>
          <w:sz w:val="32"/>
          <w:szCs w:val="32"/>
        </w:rPr>
        <w:t>科学编制国土空间规划。</w:t>
      </w:r>
      <w:r>
        <w:rPr>
          <w:rFonts w:hint="default" w:ascii="Times New Roman" w:hAnsi="Times New Roman" w:eastAsia="仿宋_GB2312" w:cs="Times New Roman"/>
          <w:b w:val="0"/>
          <w:bCs w:val="0"/>
          <w:sz w:val="32"/>
          <w:szCs w:val="32"/>
        </w:rPr>
        <w:t>打破县域内行政区划和建制界限，按照经济区与行政区适度分离的思路，科学划定</w:t>
      </w:r>
      <w:r>
        <w:rPr>
          <w:rStyle w:val="51"/>
          <w:rFonts w:hint="default" w:ascii="Times New Roman" w:hAnsi="Times New Roman" w:eastAsia="仿宋_GB2312" w:cs="Times New Roman"/>
          <w:b w:val="0"/>
          <w:bCs w:val="0"/>
          <w:color w:val="000000"/>
          <w:sz w:val="32"/>
          <w:szCs w:val="32"/>
        </w:rPr>
        <w:t>了6个镇级片区，70个村级片区。围绕重大建设项目、违法用地整改、农村一二三产等未来用地需求，精准把握好城镇、农业、生态三类空间的平衡点，科学划定城镇开发边界、永久基本农田保护红线、生态保护红线。目前，我县第六轮“三区三线”划定成果并逐级上报至自然资源部审查。组织编制了《“9.16”灾后重建过渡期土地利用规划实施方案》，主要围绕城乡居民住房、公共服务设施、基础设施建设、产业发展、生态修复（含防灾减灾）五方面灾后重建重点任务，确定了28个泸县地震灾后恢复重建项目，涉及用地面积3609亩。目前，实施方案已通过省厅技术审查，并取得县政府审批。</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lang w:val="en-US" w:eastAsia="zh-CN"/>
        </w:rPr>
        <w:t>2.</w:t>
      </w:r>
      <w:r>
        <w:rPr>
          <w:rStyle w:val="51"/>
          <w:rFonts w:hint="default" w:ascii="Times New Roman" w:hAnsi="Times New Roman" w:eastAsia="仿宋_GB2312" w:cs="Times New Roman"/>
          <w:b w:val="0"/>
          <w:bCs w:val="0"/>
          <w:color w:val="000000"/>
          <w:sz w:val="32"/>
          <w:szCs w:val="32"/>
        </w:rPr>
        <w:t>扎实推进耕地保护。制定《泸县耕地保护责任目标考核办法》《泸县耕地保护目标考核细则》等系列制度文件，将耕地保有量、基本农田保护面积、非农建设占用耕地、土地违法案件查处等指标纳入各镇（街道）年终目标考核，层层签订耕地保护目标责任书和基本农田保护责任书。积极推进“田长制”，形成一级抓一级、层层抓落实的耕地保护新机制和“横向到边、纵向到底、全覆盖、无缝隙”的耕地保护工作体系。我县“进出平衡”任务11699亩，实际完成13123亩，超额完成1424亩。全力做好农村村民建房农用地转用工作，办理农村村民建房农用地转用675宗72634平方米，全力以赴跑出农房改善“加速度”，让老百姓有更多的获得感和幸福感。</w:t>
      </w:r>
    </w:p>
    <w:p>
      <w:pPr>
        <w:pStyle w:val="11"/>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lang w:val="en-US" w:eastAsia="zh-CN"/>
        </w:rPr>
        <w:t>3.</w:t>
      </w:r>
      <w:r>
        <w:rPr>
          <w:rStyle w:val="51"/>
          <w:rFonts w:hint="default" w:ascii="Times New Roman" w:hAnsi="Times New Roman" w:eastAsia="仿宋_GB2312" w:cs="Times New Roman"/>
          <w:b w:val="0"/>
          <w:bCs w:val="0"/>
          <w:color w:val="000000"/>
          <w:sz w:val="32"/>
          <w:szCs w:val="32"/>
        </w:rPr>
        <w:t>高效落实要素保障。用足用活省、市灾后恢复重建支持政策，严格执行“占一补一”“先补后占”政策，以保民生、保基础为重点，全力保障灾后恢复重建、重点基础设施、产业发展项目用地需求，全年完成征地报批1269.75亩。高效推进渝昆高铁、泸永高速等国、省重点项目用地保障工作，顺利取得部、省用地批复，为推进泸永江融合发展示范区建设提供要素保障支撑。完成了泸县区片综合地价修订工作，为我县开展征地拆迁工作、保障农民权益提供了政策保障。</w:t>
      </w:r>
    </w:p>
    <w:p>
      <w:pPr>
        <w:pStyle w:val="11"/>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lang w:val="en-US" w:eastAsia="zh-CN"/>
        </w:rPr>
        <w:t>4.</w:t>
      </w:r>
      <w:r>
        <w:rPr>
          <w:rStyle w:val="51"/>
          <w:rFonts w:hint="default" w:ascii="Times New Roman" w:hAnsi="Times New Roman" w:eastAsia="仿宋_GB2312" w:cs="Times New Roman"/>
          <w:b w:val="0"/>
          <w:bCs w:val="0"/>
          <w:color w:val="000000"/>
          <w:sz w:val="32"/>
          <w:szCs w:val="32"/>
        </w:rPr>
        <w:t>强化集约节约利用。全面开展闲置土地清理处置，实施差别化土地供应政策，通过“亩均论英雄”、节地评价及标准化建设等措施，积极盘活存量，强化土地供应。2017-2021年度批准用地面积29422亩，已供应19419亩，截至目前供地率为66%，已完成省市考核任务。</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lang w:val="en-US" w:eastAsia="zh-CN"/>
        </w:rPr>
        <w:t>5.</w:t>
      </w:r>
      <w:r>
        <w:rPr>
          <w:rStyle w:val="51"/>
          <w:rFonts w:hint="default" w:ascii="Times New Roman" w:hAnsi="Times New Roman" w:eastAsia="仿宋_GB2312" w:cs="Times New Roman"/>
          <w:b w:val="0"/>
          <w:bCs w:val="0"/>
          <w:color w:val="000000"/>
          <w:sz w:val="32"/>
          <w:szCs w:val="32"/>
        </w:rPr>
        <w:t>统筹推动生态修复。扎实推进历史遗留废弃矿山生态修复和沿长江生态治理工作，指导在册非煤矿山编制年度生态修复总结和2022年度生态修复计划，目前已完成17家；组织开展矿山生态修复问题排查整治专项行动，排查出5个问题，均已督促企业整改到位。严格按照《土地复垦条例》及其实施办法相关规定，加强临时用地土地复垦监管。组织专家评审土地复垦方案39个；会同县农业农村局、县生态环境局完成了天洋金峰硅砂、友豪搅拌站、太伏鑫盛石材厂、渝昆高铁弃土场4宗临时用地复垦验收；会同农业农村局验收违法用地复垦图斑34个。</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lang w:val="en-US" w:eastAsia="zh-CN"/>
        </w:rPr>
        <w:t>6.</w:t>
      </w:r>
      <w:r>
        <w:rPr>
          <w:rStyle w:val="51"/>
          <w:rFonts w:hint="default" w:ascii="Times New Roman" w:hAnsi="Times New Roman" w:eastAsia="仿宋_GB2312" w:cs="Times New Roman"/>
          <w:b w:val="0"/>
          <w:bCs w:val="0"/>
          <w:color w:val="000000"/>
          <w:sz w:val="32"/>
          <w:szCs w:val="32"/>
        </w:rPr>
        <w:t>加强森林资源管控。全面建立县、镇（街道）、村（社区）三级林长制组织体系。2022年营造林目标任务1.5万亩，义务植150万株，到目前实际完成营造林1.51万亩，义务植树155万株，分别完成目标任务的100.7%、103.3%。巩固退耕还林成果7.2万亩，兑现前一轮退耕还生态林森林抚育面积5.7万亩114.41万元，目前已完成前一轮退耕还生态林森林抚育资金112.49万元，完成全年任务的98.32%，预计在11底前可完成兑现工作。林业总产值目标任务22.5亿元，目前已完成14.38亿元，同比增幅10%，农民人均林业收入1660元，预计在12月底前可全面完成林业产业产值目标任务。林业科技推广油茶栽植示范项目正积极推进，预计年底前可通过省市验收。聘请专业队伍开展松材线虫病秋季专项普查，实现全县松林面积7.06万亩全覆盖，监测率100%。实施森林管护面积6.63万亩，完成天保工程森林管护项目和森林生态效益补偿项目，生态效益补偿资金51万元，惠及农户17022户，退耕还生态林森林抚育补助114.41万元，惠及农户47600户。</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lang w:val="en-US" w:eastAsia="zh-CN"/>
        </w:rPr>
        <w:t>7.</w:t>
      </w:r>
      <w:r>
        <w:rPr>
          <w:rStyle w:val="51"/>
          <w:rFonts w:hint="default" w:ascii="Times New Roman" w:hAnsi="Times New Roman" w:eastAsia="仿宋_GB2312" w:cs="Times New Roman"/>
          <w:b w:val="0"/>
          <w:bCs w:val="0"/>
          <w:color w:val="000000"/>
          <w:sz w:val="32"/>
          <w:szCs w:val="32"/>
        </w:rPr>
        <w:t>严格土地执法监管。强化自然资源执法监管巡查，坚持“工作走在问题前面”的理念，从源头上遏制违法用地现象发生，力争将违法行为消灭在萌芽状态。</w:t>
      </w:r>
      <w:r>
        <w:rPr>
          <w:rStyle w:val="51"/>
          <w:rFonts w:hint="eastAsia" w:eastAsia="仿宋_GB2312" w:cs="Times New Roman"/>
          <w:b w:val="0"/>
          <w:bCs w:val="0"/>
          <w:color w:val="000000"/>
          <w:sz w:val="32"/>
          <w:szCs w:val="32"/>
          <w:lang w:eastAsia="zh-CN"/>
        </w:rPr>
        <w:t>截至目前</w:t>
      </w:r>
      <w:r>
        <w:rPr>
          <w:rStyle w:val="51"/>
          <w:rFonts w:hint="default" w:ascii="Times New Roman" w:hAnsi="Times New Roman" w:eastAsia="仿宋_GB2312" w:cs="Times New Roman"/>
          <w:b w:val="0"/>
          <w:bCs w:val="0"/>
          <w:color w:val="000000"/>
          <w:sz w:val="32"/>
          <w:szCs w:val="32"/>
        </w:rPr>
        <w:t>开展土地动态巡查1008次，参与人数2148人，矿山动态巡查894次，参与人数2338人，购买服务实测煤矿3个、巡查矿山35个。立案查处土地案件25宗，林业案件14中，已结案16宗，正在办理23宗。处理信访举报26件，已回复24件。开展2021、2022年卫片执法违法问题整改，已整改到位547个5486.35亩，正在整改294个1235.47亩，对历年复耕乱象开展清查整治两次，对发现问题立即进行了整改。开展农村乱占耕地建房问题专项整治工作，我县纳入国、省乱占耕地建房问题“顶风违建”74宗，已整改销号73宗,正在整改1宗；采取有力措施开展农村乱占耕地建房非住宅房屋信息补充摸排工作，共计摸排图斑51280个。</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lang w:val="en-US" w:eastAsia="zh-CN"/>
        </w:rPr>
        <w:t>8.</w:t>
      </w:r>
      <w:r>
        <w:rPr>
          <w:rStyle w:val="51"/>
          <w:rFonts w:hint="default" w:ascii="Times New Roman" w:hAnsi="Times New Roman" w:eastAsia="仿宋_GB2312" w:cs="Times New Roman"/>
          <w:b w:val="0"/>
          <w:bCs w:val="0"/>
          <w:color w:val="000000"/>
          <w:sz w:val="32"/>
          <w:szCs w:val="32"/>
        </w:rPr>
        <w:t>狠抓安全底线工作。在全县组建21支森林防火宣讲队，常态化开展森林防火宣传，在全县营造出“人人讲防火、人人懂防火、人人抓防火”的浓厚社会氛围。开展隐患排查，重点突出“三重一细”和“五周五缘”区域，已累计清理林下可燃物5200余亩8000余吨，排查出涉林火灾隐患114个，已全面落实整改销号。地灾防治工作始终坚持以人为本、预防为主、避让和治理相结合的原则，全县上下严格落实“四个避让”“三个紧急撤离”刚性要求，将“人民至上、生命至上”贯穿地灾防治全过程、各环节，今年已组织地灾点受威胁群众转移避让5次，涉及160户632人次。争取到省级资金1550万元，统筹用于震后27处地灾隐患整治。截至目前，已整治消除地灾隐患21处，剩余6处正有序推进整治工作，预计年底前可全部完成整治。我县已连续23年保持地质灾害防治工作零伤亡的目标。</w:t>
      </w:r>
    </w:p>
    <w:p>
      <w:pPr>
        <w:pStyle w:val="11"/>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lang w:val="en-US" w:eastAsia="zh-CN"/>
        </w:rPr>
        <w:t>9.</w:t>
      </w:r>
      <w:r>
        <w:rPr>
          <w:rStyle w:val="51"/>
          <w:rFonts w:hint="default" w:ascii="Times New Roman" w:hAnsi="Times New Roman" w:eastAsia="仿宋_GB2312" w:cs="Times New Roman"/>
          <w:b w:val="0"/>
          <w:bCs w:val="0"/>
          <w:color w:val="000000"/>
          <w:sz w:val="32"/>
          <w:szCs w:val="32"/>
        </w:rPr>
        <w:t>强化党建引领作用。一是凝心聚力抓好党建引领。认真贯彻落实习近平新时代中国特色社会主义思想、习近平总书记来川视察重要指示精神和省第十二次党代会精神等上级相关重要会议和领导批示指示精神。深入学习贯彻党的二十大精神，切实把全局各级党组织和党员干部的思想行动统一到党的二十大精神上来。二是开展内容丰富的活动。组织开展“保护耕地 你我同在”演讲比赛，组织干部职工参加泸县第二届“无毒龙城杯”全民健身职工运动会暨第八届职工羽毛球赛和泸县第十八届龙城金秋职工篮球赛，激励全县自然资源系统干部职工勇担重任、奋发竞进的动力。三是发挥党员先锋模范作用。组织广大党员、干部下沉一线、巡山护林、蹲点值守，全力以赴打赢极端高温天气下森林防火攻坚战，筑牢森林防灭火安全屏障。“9.5”疫情发生后，组织27名志愿者“逆行”出征，成立3个临时党支部，深入太伏镇太平社区、林桥村、石坝村开展疫情防控工作，坚决守住守牢疫情防控阵地。组织党员干部开展上门办证服务46次、助力灾后重建，提供“足不出镇”服务50余次、延时服务105次、绿色通道容缺受理37次、急件办理服务286次等服务，扎实有效地实施“民心工程”切实提升群众的满意度获得感，增进民生福祉。</w:t>
      </w:r>
    </w:p>
    <w:p>
      <w:pPr>
        <w:pStyle w:val="11"/>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lang w:val="en-US" w:eastAsia="zh-CN"/>
        </w:rPr>
        <w:t>10.</w:t>
      </w:r>
      <w:r>
        <w:rPr>
          <w:rStyle w:val="51"/>
          <w:rFonts w:hint="default" w:ascii="Times New Roman" w:hAnsi="Times New Roman" w:eastAsia="仿宋_GB2312" w:cs="Times New Roman"/>
          <w:b w:val="0"/>
          <w:bCs w:val="0"/>
          <w:color w:val="000000"/>
          <w:sz w:val="32"/>
          <w:szCs w:val="32"/>
        </w:rPr>
        <w:t>党风廉政持续向好。</w:t>
      </w:r>
      <w:r>
        <w:rPr>
          <w:rStyle w:val="51"/>
          <w:rFonts w:hint="eastAsia" w:eastAsia="仿宋_GB2312" w:cs="Times New Roman"/>
          <w:b w:val="0"/>
          <w:bCs w:val="0"/>
          <w:color w:val="000000"/>
          <w:sz w:val="32"/>
          <w:szCs w:val="32"/>
          <w:lang w:eastAsia="zh-CN"/>
        </w:rPr>
        <w:t>落实全面从严治党主体责任</w:t>
      </w:r>
      <w:r>
        <w:rPr>
          <w:rStyle w:val="51"/>
          <w:rFonts w:hint="default" w:ascii="Times New Roman" w:hAnsi="Times New Roman" w:eastAsia="仿宋_GB2312" w:cs="Times New Roman"/>
          <w:b w:val="0"/>
          <w:bCs w:val="0"/>
          <w:color w:val="000000"/>
          <w:sz w:val="32"/>
          <w:szCs w:val="32"/>
        </w:rPr>
        <w:t>，严格执行党内议事规则和“三重一大”民主决策、述责述廉、约谈、考核等工作制度，常态化分析研判系统党风廉政建设形势，及时加强风险防控。以“清单制”工作为载体，盯紧看牢森林防火、地灾防治、征地拆迁、规划编制等关键领域，安排部署系统治理、借培训之机搞公款旅游、实施“民心守护”工程等重点工作。每年开展廉政谈话500余人次，落实“一岗双责”工作监督1000余次。聚焦群众“急难愁盼”等民生实际问题，持之以恒正风肃纪，大力开展系统腐败和作风问题专项治理等专项行动，设置“办不成事”受理窗口，破解困扰30多个历史遗留难题。常态化开展警示教育，严格运用监督执纪“四种形态”，今年，处理干部4人次</w:t>
      </w:r>
      <w:r>
        <w:rPr>
          <w:rStyle w:val="51"/>
          <w:rFonts w:hint="eastAsia" w:eastAsia="仿宋_GB2312" w:cs="Times New Roman"/>
          <w:b w:val="0"/>
          <w:bCs w:val="0"/>
          <w:color w:val="000000"/>
          <w:sz w:val="32"/>
          <w:szCs w:val="32"/>
          <w:lang w:eastAsia="zh-CN"/>
        </w:rPr>
        <w:t>（</w:t>
      </w:r>
      <w:r>
        <w:rPr>
          <w:rStyle w:val="51"/>
          <w:rFonts w:hint="default" w:ascii="Times New Roman" w:hAnsi="Times New Roman" w:eastAsia="仿宋_GB2312" w:cs="Times New Roman"/>
          <w:b w:val="0"/>
          <w:bCs w:val="0"/>
          <w:color w:val="000000"/>
          <w:sz w:val="32"/>
          <w:szCs w:val="32"/>
        </w:rPr>
        <w:t>含1名退休干部），通报9人，批评教育1人，作风建设进一步深化。</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楷体_GB2312" w:cs="Times New Roman"/>
          <w:b w:val="0"/>
          <w:bCs w:val="0"/>
          <w:sz w:val="32"/>
          <w:szCs w:val="32"/>
        </w:rPr>
      </w:pPr>
      <w:r>
        <w:rPr>
          <w:rStyle w:val="51"/>
          <w:rFonts w:hint="default" w:ascii="Times New Roman" w:hAnsi="Times New Roman" w:eastAsia="楷体_GB2312" w:cs="Times New Roman"/>
          <w:b w:val="0"/>
          <w:bCs w:val="0"/>
          <w:sz w:val="32"/>
          <w:szCs w:val="32"/>
        </w:rPr>
        <w:t>（三）结果应用情况</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rPr>
        <w:t>1.内部应用</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rPr>
        <w:t>我局领导高度重视绩效运行管理工作，多次召开项目绩效运行管理工作会议，督促各业务部门及下属单位即要加快推进项目实施又要保证实现绩效目标。</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rPr>
        <w:t>2.绩效自评公开</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rPr>
        <w:t>按照预算管理关于绩效目标同预算同步公开、绩效自评同决算同步公开的要求，我局在部门预算和部门决算批复后及时在局门户网站和县人民政府门户网上部门预决算公开专栏公开，主动接受社会监督。</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rPr>
        <w:t>3.评价结果整改</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rPr>
        <w:t>2022年，积极参加省厅、市财政局组织的会计人员继续教育培训，认真学习预算绩效管理课程，切实增强日常工作的针对性。下一步将严格绩效管理结果与预算挂钩。</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rPr>
        <w:t>4.应用结果反馈</w:t>
      </w:r>
    </w:p>
    <w:p>
      <w:pPr>
        <w:pageBreakBefore w:val="0"/>
        <w:kinsoku/>
        <w:wordWrap/>
        <w:overflowPunct/>
        <w:topLinePunct w:val="0"/>
        <w:autoSpaceDE/>
        <w:autoSpaceDN/>
        <w:bidi w:val="0"/>
        <w:spacing w:line="578" w:lineRule="exact"/>
        <w:ind w:firstLine="640" w:firstLineChars="200"/>
        <w:rPr>
          <w:rStyle w:val="51"/>
          <w:rFonts w:hint="default" w:ascii="Times New Roman" w:hAnsi="Times New Roman" w:eastAsia="仿宋_GB2312" w:cs="Times New Roman"/>
          <w:b w:val="0"/>
          <w:bCs w:val="0"/>
          <w:color w:val="000000"/>
          <w:sz w:val="32"/>
          <w:szCs w:val="32"/>
        </w:rPr>
      </w:pPr>
      <w:r>
        <w:rPr>
          <w:rStyle w:val="51"/>
          <w:rFonts w:hint="default" w:ascii="Times New Roman" w:hAnsi="Times New Roman" w:eastAsia="仿宋_GB2312" w:cs="Times New Roman"/>
          <w:b w:val="0"/>
          <w:bCs w:val="0"/>
          <w:color w:val="000000"/>
          <w:sz w:val="32"/>
          <w:szCs w:val="32"/>
        </w:rPr>
        <w:t>按照统一部署，及时开展绩效监控和绩效自评考核等工作，按时报送自评报告。并根据绩效监控结果，及时督促和调整项目开展进度。</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仿宋_GB2312" w:cs="Times New Roman"/>
          <w:b w:val="0"/>
          <w:bCs w:val="0"/>
          <w:sz w:val="32"/>
          <w:szCs w:val="32"/>
        </w:rPr>
      </w:pPr>
      <w:r>
        <w:rPr>
          <w:rStyle w:val="51"/>
          <w:rFonts w:hint="default" w:ascii="Times New Roman" w:hAnsi="Times New Roman" w:eastAsia="仿宋_GB2312" w:cs="Times New Roman"/>
          <w:b w:val="0"/>
          <w:bCs w:val="0"/>
          <w:sz w:val="32"/>
          <w:szCs w:val="32"/>
        </w:rPr>
        <w:t>包括内部应用、自评公开、问题整改和应用反馈等情况。</w:t>
      </w:r>
    </w:p>
    <w:p>
      <w:pPr>
        <w:pageBreakBefore w:val="0"/>
        <w:widowControl/>
        <w:numPr>
          <w:ilvl w:val="0"/>
          <w:numId w:val="6"/>
        </w:numPr>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楷体_GB2312" w:cs="Times New Roman"/>
          <w:b w:val="0"/>
          <w:bCs w:val="0"/>
          <w:sz w:val="32"/>
          <w:szCs w:val="32"/>
        </w:rPr>
      </w:pPr>
      <w:r>
        <w:rPr>
          <w:rStyle w:val="51"/>
          <w:rFonts w:hint="default" w:ascii="Times New Roman" w:hAnsi="Times New Roman" w:eastAsia="楷体_GB2312" w:cs="Times New Roman"/>
          <w:b w:val="0"/>
          <w:bCs w:val="0"/>
          <w:sz w:val="32"/>
          <w:szCs w:val="32"/>
        </w:rPr>
        <w:t>自评质量</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仿宋_GB2312" w:cs="Times New Roman"/>
          <w:b w:val="0"/>
          <w:bCs w:val="0"/>
          <w:sz w:val="32"/>
          <w:szCs w:val="32"/>
        </w:rPr>
      </w:pPr>
      <w:r>
        <w:rPr>
          <w:rStyle w:val="51"/>
          <w:rFonts w:hint="default" w:ascii="Times New Roman" w:hAnsi="Times New Roman" w:eastAsia="仿宋_GB2312" w:cs="Times New Roman"/>
          <w:b w:val="0"/>
          <w:bCs w:val="0"/>
          <w:sz w:val="32"/>
          <w:szCs w:val="32"/>
        </w:rPr>
        <w:t>本部门按照相关要求积极开展2022年度部门整体支出绩效评价工作，形成整体绩效评价报告，自评质量较好。</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方正黑体_GBK" w:cs="Times New Roman"/>
          <w:b w:val="0"/>
          <w:bCs w:val="0"/>
          <w:sz w:val="32"/>
          <w:szCs w:val="32"/>
        </w:rPr>
      </w:pPr>
      <w:r>
        <w:rPr>
          <w:rStyle w:val="51"/>
          <w:rFonts w:hint="default" w:ascii="Times New Roman" w:hAnsi="Times New Roman" w:eastAsia="方正黑体_GBK" w:cs="Times New Roman"/>
          <w:b w:val="0"/>
          <w:bCs w:val="0"/>
          <w:sz w:val="32"/>
          <w:szCs w:val="32"/>
        </w:rPr>
        <w:t>四、评价结论及建议</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仿宋_GB2312" w:cs="Times New Roman"/>
          <w:b w:val="0"/>
          <w:bCs w:val="0"/>
          <w:sz w:val="32"/>
          <w:szCs w:val="32"/>
        </w:rPr>
      </w:pPr>
      <w:r>
        <w:rPr>
          <w:rStyle w:val="51"/>
          <w:rFonts w:hint="default" w:ascii="Times New Roman" w:hAnsi="Times New Roman" w:eastAsia="楷体_GB2312" w:cs="Times New Roman"/>
          <w:b w:val="0"/>
          <w:bCs w:val="0"/>
          <w:sz w:val="32"/>
          <w:szCs w:val="32"/>
        </w:rPr>
        <w:t>（一）评价结论</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仿宋_GB2312" w:cs="Times New Roman"/>
          <w:b w:val="0"/>
          <w:bCs w:val="0"/>
          <w:sz w:val="32"/>
          <w:szCs w:val="32"/>
        </w:rPr>
      </w:pPr>
      <w:r>
        <w:rPr>
          <w:rStyle w:val="51"/>
          <w:rFonts w:hint="default" w:ascii="Times New Roman" w:hAnsi="Times New Roman" w:eastAsia="仿宋_GB2312" w:cs="Times New Roman"/>
          <w:b w:val="0"/>
          <w:bCs w:val="0"/>
          <w:sz w:val="32"/>
          <w:szCs w:val="32"/>
        </w:rPr>
        <w:t>通过自评发现，我局2022年部门预算绩效管理总体工作较往年项目绩效受上级政策调整影响变化较大，对照考核标准要求还有一定差距。在2022年的工作中，我局将结合本部门工作实际，推动制定更加完善的预算绩效评价管理办法，探索建立符合我局工作实际的绩效评价指标体系、评价标准等。</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楷体_GB2312" w:cs="Times New Roman"/>
          <w:b w:val="0"/>
          <w:bCs w:val="0"/>
          <w:sz w:val="32"/>
          <w:szCs w:val="32"/>
        </w:rPr>
      </w:pPr>
      <w:r>
        <w:rPr>
          <w:rStyle w:val="51"/>
          <w:rFonts w:hint="default" w:ascii="Times New Roman" w:hAnsi="Times New Roman" w:eastAsia="楷体_GB2312" w:cs="Times New Roman"/>
          <w:b w:val="0"/>
          <w:bCs w:val="0"/>
          <w:sz w:val="32"/>
          <w:szCs w:val="32"/>
        </w:rPr>
        <w:t>（二）存在问题</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仿宋_GB2312" w:cs="Times New Roman"/>
          <w:b w:val="0"/>
          <w:bCs w:val="0"/>
          <w:sz w:val="32"/>
          <w:szCs w:val="32"/>
        </w:rPr>
      </w:pPr>
      <w:r>
        <w:rPr>
          <w:rStyle w:val="51"/>
          <w:rFonts w:hint="default" w:ascii="Times New Roman" w:hAnsi="Times New Roman" w:eastAsia="仿宋_GB2312" w:cs="Times New Roman"/>
          <w:b w:val="0"/>
          <w:bCs w:val="0"/>
          <w:sz w:val="32"/>
          <w:szCs w:val="32"/>
        </w:rPr>
        <w:t>1.预算编制准确性有待提高，预算编制精细化程度还不够高，前瞻性不足，实际执行与项目预期绩效存在偏差。</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仿宋_GB2312" w:cs="Times New Roman"/>
          <w:b w:val="0"/>
          <w:bCs w:val="0"/>
          <w:sz w:val="32"/>
          <w:szCs w:val="32"/>
        </w:rPr>
      </w:pPr>
      <w:r>
        <w:rPr>
          <w:rStyle w:val="51"/>
          <w:rFonts w:hint="default" w:ascii="Times New Roman" w:hAnsi="Times New Roman" w:eastAsia="仿宋_GB2312" w:cs="Times New Roman"/>
          <w:b w:val="0"/>
          <w:bCs w:val="0"/>
          <w:sz w:val="32"/>
          <w:szCs w:val="32"/>
        </w:rPr>
        <w:t>2.绩效目标监控分析还不够深入,在预算执行的过程中，部分项目绩效目标的调整还不够及时。</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仿宋_GB2312" w:cs="Times New Roman"/>
          <w:b w:val="0"/>
          <w:bCs w:val="0"/>
          <w:sz w:val="32"/>
          <w:szCs w:val="32"/>
        </w:rPr>
      </w:pPr>
      <w:r>
        <w:rPr>
          <w:rStyle w:val="51"/>
          <w:rFonts w:hint="default" w:ascii="Times New Roman" w:hAnsi="Times New Roman" w:eastAsia="仿宋_GB2312" w:cs="Times New Roman"/>
          <w:b w:val="0"/>
          <w:bCs w:val="0"/>
          <w:sz w:val="32"/>
          <w:szCs w:val="32"/>
        </w:rPr>
        <w:t>3.预算编制人员对绩效管理理解还不够深入,各科室预算编制人员编制绩效目标不够准确，对绩效监控和绩效评价理解不透彻，工作水平还有待提高。</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楷体_GB2312" w:cs="Times New Roman"/>
          <w:b w:val="0"/>
          <w:bCs w:val="0"/>
          <w:sz w:val="32"/>
          <w:szCs w:val="32"/>
        </w:rPr>
      </w:pPr>
      <w:r>
        <w:rPr>
          <w:rStyle w:val="51"/>
          <w:rFonts w:hint="default" w:ascii="Times New Roman" w:hAnsi="Times New Roman" w:eastAsia="楷体_GB2312" w:cs="Times New Roman"/>
          <w:b w:val="0"/>
          <w:bCs w:val="0"/>
          <w:sz w:val="32"/>
          <w:szCs w:val="32"/>
        </w:rPr>
        <w:t>（三）改进建议</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仿宋_GB2312" w:cs="Times New Roman"/>
          <w:b w:val="0"/>
          <w:bCs w:val="0"/>
          <w:sz w:val="32"/>
          <w:szCs w:val="32"/>
        </w:rPr>
      </w:pPr>
      <w:r>
        <w:rPr>
          <w:rStyle w:val="51"/>
          <w:rFonts w:hint="default" w:ascii="Times New Roman" w:hAnsi="Times New Roman" w:eastAsia="仿宋_GB2312" w:cs="Times New Roman"/>
          <w:b w:val="0"/>
          <w:bCs w:val="0"/>
          <w:sz w:val="32"/>
          <w:szCs w:val="32"/>
        </w:rPr>
        <w:t>1.按照全面实施预算管理的总体要求，结合行业部门特点和区域特性开展分类指导，建立健全部门预算绩效指标体系，加强预算绩效管理的针对性。</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Style w:val="51"/>
          <w:rFonts w:hint="default" w:ascii="Times New Roman" w:hAnsi="Times New Roman" w:eastAsia="仿宋_GB2312" w:cs="Times New Roman"/>
          <w:b w:val="0"/>
          <w:bCs w:val="0"/>
          <w:sz w:val="32"/>
          <w:szCs w:val="32"/>
        </w:rPr>
      </w:pPr>
      <w:r>
        <w:rPr>
          <w:rStyle w:val="51"/>
          <w:rFonts w:hint="default" w:ascii="Times New Roman" w:hAnsi="Times New Roman" w:eastAsia="仿宋_GB2312" w:cs="Times New Roman"/>
          <w:b w:val="0"/>
          <w:bCs w:val="0"/>
          <w:sz w:val="32"/>
          <w:szCs w:val="32"/>
        </w:rPr>
        <w:t>2.财务人员预算绩效管理水平有待提高，在填报绩效目标、绩效监控、绩效自评各个阶段还存在疑惑，业务部门对预算绩效管理的认识上还有差距，建议扩大预算绩效管理工作培训范围，切实增强预算绩效管理水平。</w:t>
      </w: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53"/>
        <w:jc w:val="center"/>
        <w:rPr>
          <w:rFonts w:hint="default" w:ascii="Times New Roman" w:hAnsi="Times New Roman" w:cs="Times New Roman"/>
          <w:b w:val="0"/>
          <w:bCs w:val="0"/>
          <w:sz w:val="32"/>
          <w:szCs w:val="32"/>
        </w:rPr>
      </w:pPr>
    </w:p>
    <w:p>
      <w:pPr>
        <w:pStyle w:val="4"/>
        <w:pageBreakBefore w:val="0"/>
        <w:kinsoku/>
        <w:wordWrap/>
        <w:overflowPunct/>
        <w:topLinePunct w:val="0"/>
        <w:autoSpaceDE/>
        <w:autoSpaceDN/>
        <w:bidi w:val="0"/>
        <w:spacing w:before="0" w:after="0" w:line="578" w:lineRule="exact"/>
        <w:jc w:val="center"/>
        <w:textAlignment w:val="auto"/>
        <w:rPr>
          <w:rFonts w:hint="default" w:ascii="Times New Roman" w:hAnsi="Times New Roman" w:eastAsia="方正小标宋_GBK" w:cs="Times New Roman"/>
          <w:b w:val="0"/>
          <w:bCs w:val="0"/>
          <w:sz w:val="44"/>
          <w:szCs w:val="44"/>
        </w:rPr>
      </w:pPr>
      <w:bookmarkStart w:id="107" w:name="_Toc149227156"/>
      <w:r>
        <w:rPr>
          <w:rFonts w:hint="default" w:ascii="Times New Roman" w:hAnsi="Times New Roman" w:eastAsia="方正小标宋_GBK" w:cs="Times New Roman"/>
          <w:b w:val="0"/>
          <w:bCs w:val="0"/>
          <w:sz w:val="44"/>
          <w:szCs w:val="44"/>
        </w:rPr>
        <w:t>泸县国有林场实施项目2022年度绩效自评</w:t>
      </w:r>
    </w:p>
    <w:p>
      <w:pPr>
        <w:pStyle w:val="4"/>
        <w:pageBreakBefore w:val="0"/>
        <w:kinsoku/>
        <w:wordWrap/>
        <w:overflowPunct/>
        <w:topLinePunct w:val="0"/>
        <w:autoSpaceDE/>
        <w:autoSpaceDN/>
        <w:bidi w:val="0"/>
        <w:spacing w:before="0" w:after="0" w:line="578" w:lineRule="exact"/>
        <w:jc w:val="center"/>
        <w:textAlignment w:val="auto"/>
        <w:rPr>
          <w:rFonts w:hint="default" w:ascii="Times New Roman" w:hAnsi="Times New Roman" w:eastAsia="方正小标宋_GBK" w:cs="Times New Roman"/>
          <w:b w:val="0"/>
          <w:bCs w:val="0"/>
          <w:sz w:val="44"/>
          <w:szCs w:val="44"/>
        </w:rPr>
      </w:pPr>
      <w:r>
        <w:rPr>
          <w:rFonts w:hint="default" w:ascii="Times New Roman" w:hAnsi="Times New Roman" w:eastAsia="方正小标宋_GBK" w:cs="Times New Roman"/>
          <w:b w:val="0"/>
          <w:bCs w:val="0"/>
          <w:sz w:val="44"/>
          <w:szCs w:val="44"/>
        </w:rPr>
        <w:t>报告</w:t>
      </w:r>
      <w:bookmarkEnd w:id="107"/>
    </w:p>
    <w:p>
      <w:pPr>
        <w:pageBreakBefore w:val="0"/>
        <w:kinsoku/>
        <w:wordWrap/>
        <w:overflowPunct/>
        <w:topLinePunct w:val="0"/>
        <w:autoSpaceDE/>
        <w:autoSpaceDN/>
        <w:bidi w:val="0"/>
        <w:spacing w:line="578" w:lineRule="exact"/>
        <w:textAlignment w:val="auto"/>
        <w:rPr>
          <w:rFonts w:hint="default" w:ascii="Times New Roman" w:hAnsi="Times New Roman" w:eastAsia="仿宋_GB2312" w:cs="Times New Roman"/>
          <w:b w:val="0"/>
          <w:bCs w:val="0"/>
          <w:sz w:val="32"/>
          <w:szCs w:val="32"/>
        </w:rPr>
      </w:pP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一、基本情况</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rPr>
        <w:t>（一）转移支付概况</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为加快林业发展和开展森林资源保护工作，2022年下达泸县中央财政林业改革发展资金由泸县国有林场实施的项目有3个、资金430万元</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其中中央资金296万元，省级财政资金14万元，县级财政资金120万元）。其中泸县2022年国有林管护和森林防火补助项目资金115万元（包括中央财政林业改革发展资金第一批国家公园外天保工程区国有林管护补助项目资金109.21万元、第二批国家公园外天保工程区国有林管护补助项目资金0.19万元和森林防灭火补助项目5.6万元，文件号分别为川财资环〔2022〕34号、川财资环〔2022〕44号和川财资环</w:t>
      </w:r>
      <w:r>
        <w:rPr>
          <w:rFonts w:hint="default" w:ascii="Times New Roman" w:hAnsi="Times New Roman" w:eastAsia="仿宋_GB2312" w:cs="Times New Roman"/>
          <w:b w:val="0"/>
          <w:bCs w:val="0"/>
          <w:sz w:val="32"/>
          <w:szCs w:val="32"/>
          <w:lang w:eastAsia="zh-CN"/>
        </w:rPr>
        <w:t>〔2022〕</w:t>
      </w:r>
      <w:r>
        <w:rPr>
          <w:rFonts w:hint="default" w:ascii="Times New Roman" w:hAnsi="Times New Roman" w:eastAsia="仿宋_GB2312" w:cs="Times New Roman"/>
          <w:b w:val="0"/>
          <w:bCs w:val="0"/>
          <w:sz w:val="32"/>
          <w:szCs w:val="32"/>
        </w:rPr>
        <w:t>34号）、泸县油茶保障性苗圃建设项目资金150万元（中央财政林业改革发展资金第三批150万元，文件号为川财资环</w:t>
      </w:r>
      <w:r>
        <w:rPr>
          <w:rFonts w:hint="default" w:ascii="Times New Roman" w:hAnsi="Times New Roman" w:eastAsia="仿宋_GB2312" w:cs="Times New Roman"/>
          <w:b w:val="0"/>
          <w:bCs w:val="0"/>
          <w:sz w:val="32"/>
          <w:szCs w:val="32"/>
          <w:lang w:eastAsia="zh-CN"/>
        </w:rPr>
        <w:t>〔2022〕</w:t>
      </w:r>
      <w:r>
        <w:rPr>
          <w:rFonts w:hint="default" w:ascii="Times New Roman" w:hAnsi="Times New Roman" w:eastAsia="仿宋_GB2312" w:cs="Times New Roman"/>
          <w:b w:val="0"/>
          <w:bCs w:val="0"/>
          <w:sz w:val="32"/>
          <w:szCs w:val="32"/>
        </w:rPr>
        <w:t>66号）、2022年泸县国有林场感病松树处置项目资金165万元（包括中央财政林业有害生物防治补助31万元、文件号川财资环</w:t>
      </w:r>
      <w:r>
        <w:rPr>
          <w:rFonts w:hint="default" w:ascii="Times New Roman" w:hAnsi="Times New Roman" w:eastAsia="仿宋_GB2312" w:cs="Times New Roman"/>
          <w:b w:val="0"/>
          <w:bCs w:val="0"/>
          <w:sz w:val="32"/>
          <w:szCs w:val="32"/>
          <w:lang w:eastAsia="zh-CN"/>
        </w:rPr>
        <w:t>〔2022〕</w:t>
      </w:r>
      <w:r>
        <w:rPr>
          <w:rFonts w:hint="default" w:ascii="Times New Roman" w:hAnsi="Times New Roman" w:eastAsia="仿宋_GB2312" w:cs="Times New Roman"/>
          <w:b w:val="0"/>
          <w:bCs w:val="0"/>
          <w:sz w:val="32"/>
          <w:szCs w:val="32"/>
        </w:rPr>
        <w:t>66号，省级财政林业有害生物防治补助14万元、文件号川财资环</w:t>
      </w:r>
      <w:r>
        <w:rPr>
          <w:rFonts w:hint="default" w:ascii="Times New Roman" w:hAnsi="Times New Roman" w:eastAsia="仿宋_GB2312" w:cs="Times New Roman"/>
          <w:b w:val="0"/>
          <w:bCs w:val="0"/>
          <w:sz w:val="32"/>
          <w:szCs w:val="32"/>
          <w:lang w:eastAsia="zh-CN"/>
        </w:rPr>
        <w:t>〔2022〕</w:t>
      </w:r>
      <w:r>
        <w:rPr>
          <w:rFonts w:hint="default" w:ascii="Times New Roman" w:hAnsi="Times New Roman" w:eastAsia="仿宋_GB2312" w:cs="Times New Roman"/>
          <w:b w:val="0"/>
          <w:bCs w:val="0"/>
          <w:sz w:val="32"/>
          <w:szCs w:val="32"/>
        </w:rPr>
        <w:t>68号，县级财政资金120万元，审批处理签号NoWB2022126）。</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lang w:eastAsia="zh-CN"/>
        </w:rPr>
        <w:t>（二）</w:t>
      </w:r>
      <w:r>
        <w:rPr>
          <w:rFonts w:hint="default" w:ascii="Times New Roman" w:hAnsi="Times New Roman" w:eastAsia="楷体_GB2312" w:cs="Times New Roman"/>
          <w:b w:val="0"/>
          <w:bCs w:val="0"/>
          <w:sz w:val="32"/>
          <w:szCs w:val="32"/>
        </w:rPr>
        <w:t>整体绩效目标情况</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1.泸县2022年国有林管护和森林防火补助项目：该项目一是对镇（街）的7680亩国有林直接按10元/亩兑现给管护单位，二是在泸县国有林场的林区开展森林管护和森林防火相关工作。</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2.泸县油茶保障性苗圃建设项目：该项目主要是在泸县国有林场五尖山和四川省林业科学院林业研究所共建油茶保障性苗圃125.88亩。</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3.2022年泸县国有林场感病松树处置项目：该项目主要是对泸县国有林场感病较重的750亩松树进行成片采伐和处置。</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rPr>
        <w:t>（三）区域绩效目标情况</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1.泸县2022年国有林管护和森林防火补助项目：该项目主要是对四川省林业科学研究院用材林研究所和玉蟾街道、福集等8个镇（街）的7680亩直接按10元/亩兑现给管护单位，同时在泸县国有林场的林区开展森林火灾及安全隐患整治（包括林下可燃物清理、林区道路和风灾林木隐患整治）、制作和安装林长制宣传碑牌、购置森林防火宣传及固定检查站物资等森林管护和森林防火相关工作。现8个镇（街）的7680亩资金已全部兑现到位；森林火灾及安全隐患整治（包括林下可燃物清理、林区道路和风灾林木隐患整治）子项目已完成并通过验收，正在完善支付手续；制作和安装林长制宣传碑牌子项目已完成80%工程量；购置森林防火宣传及固定检查站物资子项目已完成并通过验收，正在完善支付手续。该项目到期验收合格率≥95%，项目建设到期完成率≥95%，资金支付比例为6.68%，建设单位职工满意度≥95%。</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泸县油茶保障性苗圃建设项目：该项目主要是在泸县国有林场五尖山种子园新建苗圃基地约107.61亩，主要开展苗圃地整地平整床、生产水肥供给系统、生产用电保障和生产便道等建设工作，同时对四川省林业科学研究院用材林研究所玉蟾山基地的18.27亩苗圃进行升级改造，主要开展步道及回车坝硬化、新建钢架遮阳棚、改良水肥供给系统和沙床等建设工作。该项目现在已完成立项、勘察设计、财政评审和招标等工作，正在进入施工准备阶段，未开始支付资金。</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3.2022年泸县国有林场感病松树处置项目：该项目主要是对泸县国有林场宝峰和龙岩两个工区19个小班感病较重的750亩松树进行成片采伐和处置后营造桢楠和红樟混交林。项目已完成并通过验收，正在完善支付手续。该项目到期验收合格率≥95%，项目建设到期完成率≥95%，资金支付比例为0，建设单位职工满意度≥95%。</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二、综合评价结论</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1.泸县2022年国有林管护和森林防火补助项目：通过项目实施，提升了国有林区镇对森林资源的保护意识，使林长制和森林防灭火工作得到有效宣传，林下可燃物等火灾隐患得到一定程度的整治，群众满意度高。</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2.泸县油茶保障性苗圃建设项目：该项目的实施，为泸县及周边县区每年可提供约250万合格油茶种苗，为油茶发展提供了苗木保障，群众满意度高。</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3.2022年泸县国有林场感病松树处置项目：该项目的实施，及时高效的对泸县国有林场感病较重的750亩松林进行了处置，采伐后种植本地珍稀树种桢楠和香樟，既有效遏制了松材线虫病的进一步蔓延和扩散，又建起了混交林防火阻隔隔离带，群众满意度高。</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三、绩效情况分析</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rPr>
        <w:t>（一）资金情况分析</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1.泸县2022年国有林管护和森林防火补助项目共计投入资金115万元，资金来源为中央财政林业改革发展资金第一批国家公园外天保工程区国有林管护补助项目资金109.21万元（川财资环</w:t>
      </w:r>
      <w:r>
        <w:rPr>
          <w:rFonts w:hint="default" w:ascii="Times New Roman" w:hAnsi="Times New Roman" w:eastAsia="仿宋_GB2312" w:cs="Times New Roman"/>
          <w:b w:val="0"/>
          <w:bCs w:val="0"/>
          <w:sz w:val="32"/>
          <w:szCs w:val="32"/>
          <w:lang w:eastAsia="zh-CN"/>
        </w:rPr>
        <w:t>〔2022〕</w:t>
      </w:r>
      <w:r>
        <w:rPr>
          <w:rFonts w:hint="default" w:ascii="Times New Roman" w:hAnsi="Times New Roman" w:eastAsia="仿宋_GB2312" w:cs="Times New Roman"/>
          <w:b w:val="0"/>
          <w:bCs w:val="0"/>
          <w:sz w:val="32"/>
          <w:szCs w:val="32"/>
        </w:rPr>
        <w:t>34号</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、第二批国家公园外天保工程区国有林管护补助项目资金0.19万元</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川财资环</w:t>
      </w:r>
      <w:r>
        <w:rPr>
          <w:rFonts w:hint="default" w:ascii="Times New Roman" w:hAnsi="Times New Roman" w:eastAsia="仿宋_GB2312" w:cs="Times New Roman"/>
          <w:b w:val="0"/>
          <w:bCs w:val="0"/>
          <w:sz w:val="32"/>
          <w:szCs w:val="32"/>
          <w:lang w:eastAsia="zh-CN"/>
        </w:rPr>
        <w:t>〔2022〕</w:t>
      </w:r>
      <w:r>
        <w:rPr>
          <w:rFonts w:hint="default" w:ascii="Times New Roman" w:hAnsi="Times New Roman" w:eastAsia="仿宋_GB2312" w:cs="Times New Roman"/>
          <w:b w:val="0"/>
          <w:bCs w:val="0"/>
          <w:sz w:val="32"/>
          <w:szCs w:val="32"/>
        </w:rPr>
        <w:t>44号</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和森林防灭火补助项目5.6万元（川财资环</w:t>
      </w:r>
      <w:r>
        <w:rPr>
          <w:rFonts w:hint="default" w:ascii="Times New Roman" w:hAnsi="Times New Roman" w:eastAsia="仿宋_GB2312" w:cs="Times New Roman"/>
          <w:b w:val="0"/>
          <w:bCs w:val="0"/>
          <w:sz w:val="32"/>
          <w:szCs w:val="32"/>
          <w:lang w:eastAsia="zh-CN"/>
        </w:rPr>
        <w:t>〔2022〕</w:t>
      </w:r>
      <w:r>
        <w:rPr>
          <w:rFonts w:hint="default" w:ascii="Times New Roman" w:hAnsi="Times New Roman" w:eastAsia="仿宋_GB2312" w:cs="Times New Roman"/>
          <w:b w:val="0"/>
          <w:bCs w:val="0"/>
          <w:sz w:val="32"/>
          <w:szCs w:val="32"/>
        </w:rPr>
        <w:t>34号），现该3笔资金已全部到位，但因招标等前期原因，虽然项目已基本完成，但资金支付只有7.68万元。</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2.泸县油茶保障性苗圃建设项目投入资金150万元，资金来源为中央财政林业改革发展资金第三批150万元（川财资环</w:t>
      </w:r>
      <w:r>
        <w:rPr>
          <w:rFonts w:hint="default" w:ascii="Times New Roman" w:hAnsi="Times New Roman" w:eastAsia="仿宋_GB2312" w:cs="Times New Roman"/>
          <w:b w:val="0"/>
          <w:bCs w:val="0"/>
          <w:sz w:val="32"/>
          <w:szCs w:val="32"/>
          <w:lang w:eastAsia="zh-CN"/>
        </w:rPr>
        <w:t>〔2022〕</w:t>
      </w:r>
      <w:r>
        <w:rPr>
          <w:rFonts w:hint="default" w:ascii="Times New Roman" w:hAnsi="Times New Roman" w:eastAsia="仿宋_GB2312" w:cs="Times New Roman"/>
          <w:b w:val="0"/>
          <w:bCs w:val="0"/>
          <w:sz w:val="32"/>
          <w:szCs w:val="32"/>
        </w:rPr>
        <w:t>66号）。该资金已全部到位，但因前期工作准备等原因，现还未开工建设，资金未支付。</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3.2022年泸县国有林场感病松树处置项目投入资金165万元，资金来源包括中央财政林业有害生物防治补助31万元（川财资环</w:t>
      </w:r>
      <w:r>
        <w:rPr>
          <w:rFonts w:hint="default" w:ascii="Times New Roman" w:hAnsi="Times New Roman" w:eastAsia="仿宋_GB2312" w:cs="Times New Roman"/>
          <w:b w:val="0"/>
          <w:bCs w:val="0"/>
          <w:sz w:val="32"/>
          <w:szCs w:val="32"/>
          <w:lang w:eastAsia="zh-CN"/>
        </w:rPr>
        <w:t>〔2022〕</w:t>
      </w:r>
      <w:r>
        <w:rPr>
          <w:rFonts w:hint="default" w:ascii="Times New Roman" w:hAnsi="Times New Roman" w:eastAsia="仿宋_GB2312" w:cs="Times New Roman"/>
          <w:b w:val="0"/>
          <w:bCs w:val="0"/>
          <w:sz w:val="32"/>
          <w:szCs w:val="32"/>
        </w:rPr>
        <w:t>66号）、省级财政林业有害生物防治补助14万元（川财资环</w:t>
      </w:r>
      <w:r>
        <w:rPr>
          <w:rFonts w:hint="default" w:ascii="Times New Roman" w:hAnsi="Times New Roman" w:eastAsia="仿宋_GB2312" w:cs="Times New Roman"/>
          <w:b w:val="0"/>
          <w:bCs w:val="0"/>
          <w:sz w:val="32"/>
          <w:szCs w:val="32"/>
          <w:lang w:eastAsia="zh-CN"/>
        </w:rPr>
        <w:t>〔2022〕</w:t>
      </w:r>
      <w:r>
        <w:rPr>
          <w:rFonts w:hint="default" w:ascii="Times New Roman" w:hAnsi="Times New Roman" w:eastAsia="仿宋_GB2312" w:cs="Times New Roman"/>
          <w:b w:val="0"/>
          <w:bCs w:val="0"/>
          <w:sz w:val="32"/>
          <w:szCs w:val="32"/>
        </w:rPr>
        <w:t>68号）、县级财政资金120万元（审批处理签号NoWB2022126）。该资金已全部到位，现已完成合同工作任务并通过了县自然资源和规划局的验收，正在完善报账资料，资金还未支付。</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楷体_GB2312" w:cs="Times New Roman"/>
          <w:b w:val="0"/>
          <w:bCs w:val="0"/>
          <w:sz w:val="32"/>
          <w:szCs w:val="32"/>
          <w:lang w:val="en-US" w:eastAsia="zh-CN"/>
        </w:rPr>
        <w:t>（二）</w:t>
      </w:r>
      <w:r>
        <w:rPr>
          <w:rFonts w:hint="default" w:ascii="Times New Roman" w:hAnsi="Times New Roman" w:eastAsia="楷体_GB2312" w:cs="Times New Roman"/>
          <w:b w:val="0"/>
          <w:bCs w:val="0"/>
          <w:sz w:val="32"/>
          <w:szCs w:val="32"/>
        </w:rPr>
        <w:t>资金管理情况分析</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lang w:val="zh-CN"/>
        </w:rPr>
      </w:pPr>
      <w:r>
        <w:rPr>
          <w:rFonts w:hint="default" w:ascii="Times New Roman" w:hAnsi="Times New Roman" w:eastAsia="仿宋_GB2312" w:cs="Times New Roman"/>
          <w:b w:val="0"/>
          <w:bCs w:val="0"/>
          <w:sz w:val="32"/>
          <w:szCs w:val="32"/>
        </w:rPr>
        <w:t>该项目资金为中央、省级和县级三级财政资金，3个项目430万元项目资金全部及时到位，资金到位率100%。</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截止评价时点，泸县2022年国有林管护和森林防火补助项目和2022年泸县国有林场感病松树处置项目已实施完毕并通过了验收，正在完善报账资料；泸县油茶保障性苗圃建设项目正在进行建设前期准备工作。这3个项目严格按照泸县自然资源和规划局财务管理制度和招投标管理制度的要求把握项目招标、资金开支范围、标准及支付进度，做到支付依据等合规合法，资金支付与预算相符。</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lang w:eastAsia="zh-CN"/>
        </w:rPr>
        <w:t>（三）</w:t>
      </w:r>
      <w:r>
        <w:rPr>
          <w:rFonts w:hint="default" w:ascii="Times New Roman" w:hAnsi="Times New Roman" w:eastAsia="楷体_GB2312" w:cs="Times New Roman"/>
          <w:b w:val="0"/>
          <w:bCs w:val="0"/>
          <w:sz w:val="32"/>
          <w:szCs w:val="32"/>
        </w:rPr>
        <w:t>总体目标完成情况分析</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3个项目组织管理架构及具体实施流程，如招投标、政府采购、项目公示等严格按项目实施方案和相关程序进行，现泸县2022年国有林管护和森林防火补助项目和2022年泸县国有林场感病松树处置项目已实施完毕并通过了验收，正在完善报账资料；泸县油茶保障性苗圃建设项目正在进行建设前期准备工作。</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rPr>
        <w:t>（五）绩效指标完成情况分析</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lang w:val="zh-CN"/>
        </w:rPr>
      </w:pPr>
      <w:r>
        <w:rPr>
          <w:rFonts w:hint="default" w:ascii="Times New Roman" w:hAnsi="Times New Roman" w:eastAsia="仿宋_GB2312" w:cs="Times New Roman"/>
          <w:b w:val="0"/>
          <w:bCs w:val="0"/>
          <w:sz w:val="32"/>
          <w:szCs w:val="32"/>
          <w:lang w:val="zh-CN"/>
        </w:rPr>
        <w:t>1</w:t>
      </w:r>
      <w:r>
        <w:rPr>
          <w:rFonts w:hint="default"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val="zh-CN"/>
        </w:rPr>
        <w:t>目标任务量完成情况。</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对照项目合同确定的计划目标，截止评价时点，泸县2022年国有林管护和森林防火补助项目已完成105万元任务量，占总工程量的91.3%，泸县油茶保障性苗圃建设项目正在进行建设前期准备工作，2022年泸县国有林场感病松树处置项目165万元全部完成项目任务量。</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lang w:val="zh-CN"/>
        </w:rPr>
      </w:pPr>
      <w:r>
        <w:rPr>
          <w:rFonts w:hint="default" w:ascii="Times New Roman" w:hAnsi="Times New Roman" w:eastAsia="仿宋_GB2312" w:cs="Times New Roman"/>
          <w:b w:val="0"/>
          <w:bCs w:val="0"/>
          <w:sz w:val="32"/>
          <w:szCs w:val="32"/>
          <w:lang w:val="zh-CN"/>
        </w:rPr>
        <w:t>2</w:t>
      </w:r>
      <w:r>
        <w:rPr>
          <w:rFonts w:hint="default"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val="zh-CN"/>
        </w:rPr>
        <w:t>目标质量完成情况。</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对照项目计划目标，项目实际完成质量全部达到质量目标。</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lang w:val="zh-CN"/>
        </w:rPr>
      </w:pPr>
      <w:r>
        <w:rPr>
          <w:rFonts w:hint="default" w:ascii="Times New Roman" w:hAnsi="Times New Roman" w:eastAsia="仿宋_GB2312" w:cs="Times New Roman"/>
          <w:b w:val="0"/>
          <w:bCs w:val="0"/>
          <w:sz w:val="32"/>
          <w:szCs w:val="32"/>
          <w:lang w:val="zh-CN"/>
        </w:rPr>
        <w:t>3</w:t>
      </w:r>
      <w:r>
        <w:rPr>
          <w:rFonts w:hint="default"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val="zh-CN"/>
        </w:rPr>
        <w:t>目标进度完成情况。</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除泸县油茶保障性苗圃建设项目外，其它2个项目按期完成了预定进度计划。</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四、发现的主要问题和改进措施</w:t>
      </w:r>
    </w:p>
    <w:p>
      <w:pPr>
        <w:pStyle w:val="53"/>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根据财政部、</w:t>
      </w:r>
      <w:r>
        <w:rPr>
          <w:rFonts w:hint="eastAsia" w:ascii="Times New Roman" w:hAnsi="Times New Roman" w:eastAsia="仿宋_GB2312" w:cs="Times New Roman"/>
          <w:b w:val="0"/>
          <w:bCs w:val="0"/>
          <w:sz w:val="32"/>
          <w:szCs w:val="32"/>
          <w:lang w:eastAsia="zh-CN"/>
        </w:rPr>
        <w:t>国家林业和草原局</w:t>
      </w:r>
      <w:r>
        <w:rPr>
          <w:rFonts w:hint="default" w:ascii="Times New Roman" w:hAnsi="Times New Roman" w:eastAsia="仿宋_GB2312" w:cs="Times New Roman"/>
          <w:b w:val="0"/>
          <w:bCs w:val="0"/>
          <w:sz w:val="32"/>
          <w:szCs w:val="32"/>
        </w:rPr>
        <w:t>《关于印发林业改革发展资金管理办法的通知》（财农〔2022〕171号）和《林业草原生态保护恢复资金管理办法》（财资环〔2022〕170号）文件规定，项目实施过程中产生的设计、预算、验收和监理等间接费用无法在专项资金中列支，自筹资金较多，县级财政财力紧张，承担压力较大。宣传报道不足的问题。</w:t>
      </w:r>
    </w:p>
    <w:p>
      <w:pPr>
        <w:pStyle w:val="2"/>
        <w:pageBreakBefore w:val="0"/>
        <w:kinsoku/>
        <w:wordWrap/>
        <w:overflowPunct/>
        <w:topLinePunct w:val="0"/>
        <w:autoSpaceDE/>
        <w:autoSpaceDN/>
        <w:bidi w:val="0"/>
        <w:spacing w:line="578" w:lineRule="exact"/>
        <w:ind w:firstLine="640" w:firstLineChars="200"/>
        <w:textAlignment w:val="auto"/>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五、下一步工作打算</w:t>
      </w:r>
    </w:p>
    <w:p>
      <w:pPr>
        <w:pageBreakBefore w:val="0"/>
        <w:kinsoku/>
        <w:wordWrap/>
        <w:overflowPunct/>
        <w:topLinePunct w:val="0"/>
        <w:autoSpaceDE/>
        <w:autoSpaceDN/>
        <w:bidi w:val="0"/>
        <w:adjustRightInd w:val="0"/>
        <w:snapToGrid w:val="0"/>
        <w:spacing w:line="578" w:lineRule="exact"/>
        <w:ind w:firstLine="640" w:firstLineChars="200"/>
        <w:textAlignment w:val="auto"/>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一是提前谋划项目，做好多种论证方案，让资金落地更加准确高效。</w:t>
      </w:r>
    </w:p>
    <w:p>
      <w:pPr>
        <w:pStyle w:val="53"/>
        <w:pageBreakBefore w:val="0"/>
        <w:kinsoku/>
        <w:wordWrap/>
        <w:overflowPunct/>
        <w:topLinePunct w:val="0"/>
        <w:autoSpaceDE/>
        <w:autoSpaceDN/>
        <w:bidi w:val="0"/>
        <w:adjustRightInd w:val="0"/>
        <w:snapToGrid w:val="0"/>
        <w:spacing w:line="578" w:lineRule="exact"/>
        <w:ind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二是做好项目资金争取工作。</w:t>
      </w:r>
    </w:p>
    <w:p>
      <w:pPr>
        <w:pStyle w:val="53"/>
        <w:pageBreakBefore w:val="0"/>
        <w:kinsoku/>
        <w:wordWrap/>
        <w:overflowPunct/>
        <w:topLinePunct w:val="0"/>
        <w:autoSpaceDE/>
        <w:autoSpaceDN/>
        <w:bidi w:val="0"/>
        <w:adjustRightInd w:val="0"/>
        <w:snapToGrid w:val="0"/>
        <w:spacing w:line="578" w:lineRule="exact"/>
        <w:ind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三是加强财政资金绩效管理工作，保障项目的顺利实施。</w:t>
      </w:r>
    </w:p>
    <w:p>
      <w:pPr>
        <w:pStyle w:val="4"/>
        <w:pageBreakBefore w:val="0"/>
        <w:kinsoku/>
        <w:wordWrap/>
        <w:overflowPunct/>
        <w:topLinePunct w:val="0"/>
        <w:autoSpaceDE/>
        <w:autoSpaceDN/>
        <w:bidi w:val="0"/>
        <w:spacing w:before="0" w:after="0" w:line="578" w:lineRule="exact"/>
        <w:jc w:val="center"/>
        <w:rPr>
          <w:rFonts w:hint="default" w:ascii="Times New Roman" w:hAnsi="Times New Roman" w:eastAsia="方正小标宋_GBK" w:cs="Times New Roman"/>
          <w:b w:val="0"/>
          <w:bCs w:val="0"/>
          <w:sz w:val="44"/>
          <w:szCs w:val="44"/>
        </w:rPr>
      </w:pPr>
      <w:bookmarkStart w:id="108" w:name="_Toc149227157"/>
      <w:r>
        <w:rPr>
          <w:rFonts w:hint="default" w:ascii="Times New Roman" w:hAnsi="Times New Roman" w:eastAsia="方正小标宋_GBK" w:cs="Times New Roman"/>
          <w:b w:val="0"/>
          <w:bCs w:val="0"/>
          <w:sz w:val="44"/>
          <w:szCs w:val="44"/>
        </w:rPr>
        <w:t>2022年省级专项资金预算项目（泸县森林防灾减灾项目）绩效自评报告</w:t>
      </w:r>
      <w:bookmarkEnd w:id="108"/>
    </w:p>
    <w:p>
      <w:pPr>
        <w:rPr>
          <w:rFonts w:hint="default" w:ascii="Times New Roman" w:hAnsi="Times New Roman" w:cs="Times New Roman"/>
        </w:rPr>
      </w:pP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方正黑体_GBK" w:cs="Times New Roman"/>
          <w:b w:val="0"/>
          <w:bCs w:val="0"/>
          <w:sz w:val="32"/>
          <w:szCs w:val="32"/>
          <w:lang w:val="zh-CN"/>
        </w:rPr>
      </w:pPr>
      <w:r>
        <w:rPr>
          <w:rFonts w:hint="default" w:ascii="Times New Roman" w:hAnsi="Times New Roman" w:eastAsia="方正黑体_GBK" w:cs="Times New Roman"/>
          <w:b w:val="0"/>
          <w:bCs w:val="0"/>
          <w:sz w:val="32"/>
          <w:szCs w:val="32"/>
        </w:rPr>
        <w:t>一、</w:t>
      </w:r>
      <w:r>
        <w:rPr>
          <w:rFonts w:hint="default" w:ascii="Times New Roman" w:hAnsi="Times New Roman" w:eastAsia="方正黑体_GBK" w:cs="Times New Roman"/>
          <w:b w:val="0"/>
          <w:bCs w:val="0"/>
          <w:sz w:val="32"/>
          <w:szCs w:val="32"/>
          <w:lang w:val="zh-CN"/>
        </w:rPr>
        <w:t>项目概况</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（一）项目基本情况</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1</w:t>
      </w:r>
      <w:r>
        <w:rPr>
          <w:rFonts w:hint="default" w:ascii="Times New Roman" w:hAnsi="Times New Roman" w:eastAsia="仿宋_GB2312" w:cs="Times New Roman"/>
          <w:b w:val="0"/>
          <w:bCs w:val="0"/>
          <w:kern w:val="0"/>
          <w:sz w:val="32"/>
          <w:szCs w:val="32"/>
          <w:shd w:val="clear" w:color="auto" w:fill="FFFFFF"/>
          <w:lang w:val="en-US" w:eastAsia="zh-CN"/>
        </w:rPr>
        <w:t>.</w:t>
      </w:r>
      <w:r>
        <w:rPr>
          <w:rFonts w:hint="default" w:ascii="Times New Roman" w:hAnsi="Times New Roman" w:eastAsia="仿宋_GB2312" w:cs="Times New Roman"/>
          <w:b w:val="0"/>
          <w:bCs w:val="0"/>
          <w:kern w:val="0"/>
          <w:sz w:val="32"/>
          <w:szCs w:val="32"/>
          <w:shd w:val="clear" w:color="auto" w:fill="FFFFFF"/>
          <w:lang w:val="zh-CN"/>
        </w:rPr>
        <w:t>泸县森林防灾减灾项目由泸县自然资源和规划局具体负责实施和管理。</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kern w:val="0"/>
          <w:sz w:val="32"/>
          <w:szCs w:val="32"/>
          <w:shd w:val="clear" w:color="auto" w:fill="FFFFFF"/>
          <w:lang w:val="zh-CN"/>
        </w:rPr>
        <w:t>2</w:t>
      </w:r>
      <w:r>
        <w:rPr>
          <w:rFonts w:hint="default" w:ascii="Times New Roman" w:hAnsi="Times New Roman" w:eastAsia="仿宋_GB2312" w:cs="Times New Roman"/>
          <w:b w:val="0"/>
          <w:bCs w:val="0"/>
          <w:kern w:val="0"/>
          <w:sz w:val="32"/>
          <w:szCs w:val="32"/>
          <w:shd w:val="clear" w:color="auto" w:fill="FFFFFF"/>
          <w:lang w:val="en-US" w:eastAsia="zh-CN"/>
        </w:rPr>
        <w:t>.</w:t>
      </w:r>
      <w:r>
        <w:rPr>
          <w:rFonts w:hint="default" w:ascii="Times New Roman" w:hAnsi="Times New Roman" w:eastAsia="仿宋_GB2312" w:cs="Times New Roman"/>
          <w:b w:val="0"/>
          <w:bCs w:val="0"/>
          <w:kern w:val="0"/>
          <w:sz w:val="32"/>
          <w:szCs w:val="32"/>
          <w:shd w:val="clear" w:color="auto" w:fill="FFFFFF"/>
          <w:lang w:val="zh-CN"/>
        </w:rPr>
        <w:t>该项目于</w:t>
      </w:r>
      <w:r>
        <w:rPr>
          <w:rFonts w:hint="default" w:ascii="Times New Roman" w:hAnsi="Times New Roman" w:eastAsia="仿宋_GB2312" w:cs="Times New Roman"/>
          <w:b w:val="0"/>
          <w:bCs w:val="0"/>
          <w:kern w:val="0"/>
          <w:sz w:val="32"/>
          <w:szCs w:val="32"/>
          <w:shd w:val="clear" w:color="auto" w:fill="FFFFFF"/>
        </w:rPr>
        <w:t>2022年5月20日</w:t>
      </w:r>
      <w:r>
        <w:rPr>
          <w:rFonts w:hint="default" w:ascii="Times New Roman" w:hAnsi="Times New Roman" w:eastAsia="仿宋_GB2312" w:cs="Times New Roman"/>
          <w:b w:val="0"/>
          <w:bCs w:val="0"/>
          <w:kern w:val="0"/>
          <w:sz w:val="32"/>
          <w:szCs w:val="32"/>
          <w:shd w:val="clear" w:color="auto" w:fill="FFFFFF"/>
          <w:lang w:val="zh-CN"/>
        </w:rPr>
        <w:t>立项（</w:t>
      </w:r>
      <w:r>
        <w:rPr>
          <w:rFonts w:hint="default" w:ascii="Times New Roman" w:hAnsi="Times New Roman" w:eastAsia="仿宋_GB2312" w:cs="Times New Roman"/>
          <w:b w:val="0"/>
          <w:bCs w:val="0"/>
          <w:sz w:val="32"/>
          <w:szCs w:val="32"/>
        </w:rPr>
        <w:t>批复文号为泸县发改行审〔2022〕127号），申请省级预算内</w:t>
      </w:r>
      <w:r>
        <w:rPr>
          <w:rFonts w:hint="default" w:ascii="Times New Roman" w:hAnsi="Times New Roman" w:eastAsia="仿宋_GB2312" w:cs="Times New Roman"/>
          <w:b w:val="0"/>
          <w:bCs w:val="0"/>
          <w:kern w:val="0"/>
          <w:sz w:val="32"/>
          <w:szCs w:val="32"/>
          <w:shd w:val="clear" w:color="auto" w:fill="FFFFFF"/>
          <w:lang w:val="zh-CN"/>
        </w:rPr>
        <w:t>资金</w:t>
      </w:r>
      <w:r>
        <w:rPr>
          <w:rFonts w:hint="default" w:ascii="Times New Roman" w:hAnsi="Times New Roman" w:eastAsia="仿宋_GB2312" w:cs="Times New Roman"/>
          <w:b w:val="0"/>
          <w:bCs w:val="0"/>
          <w:kern w:val="0"/>
          <w:sz w:val="32"/>
          <w:szCs w:val="32"/>
          <w:shd w:val="clear" w:color="auto" w:fill="FFFFFF"/>
        </w:rPr>
        <w:t>500万元</w:t>
      </w:r>
      <w:r>
        <w:rPr>
          <w:rFonts w:hint="default" w:ascii="Times New Roman" w:hAnsi="Times New Roman" w:eastAsia="仿宋_GB2312" w:cs="Times New Roman"/>
          <w:b w:val="0"/>
          <w:bCs w:val="0"/>
          <w:kern w:val="0"/>
          <w:sz w:val="32"/>
          <w:szCs w:val="32"/>
          <w:shd w:val="clear" w:color="auto" w:fill="FFFFFF"/>
          <w:lang w:val="zh-CN"/>
        </w:rPr>
        <w:t>，省级财政于</w:t>
      </w:r>
      <w:r>
        <w:rPr>
          <w:rFonts w:hint="default" w:ascii="Times New Roman" w:hAnsi="Times New Roman" w:eastAsia="仿宋_GB2312" w:cs="Times New Roman"/>
          <w:b w:val="0"/>
          <w:bCs w:val="0"/>
          <w:kern w:val="0"/>
          <w:sz w:val="32"/>
          <w:szCs w:val="32"/>
          <w:shd w:val="clear" w:color="auto" w:fill="FFFFFF"/>
        </w:rPr>
        <w:t>2022年6月2日下达我县省预算内资金500万元。该项目实施的依据主要有泸县人民政府关于泸县森林防灭火专项整治方案、泸州市人民政府</w:t>
      </w:r>
      <w:r>
        <w:rPr>
          <w:rFonts w:hint="default" w:ascii="Times New Roman" w:hAnsi="Times New Roman" w:eastAsia="仿宋_GB2312" w:cs="Times New Roman"/>
          <w:b w:val="0"/>
          <w:bCs w:val="0"/>
          <w:kern w:val="0"/>
          <w:sz w:val="32"/>
          <w:szCs w:val="32"/>
          <w:shd w:val="clear" w:color="auto" w:fill="FFFFFF"/>
          <w:lang w:val="zh-CN"/>
        </w:rPr>
        <w:t>“9·16”泸县地震灾后恢复重建实施规划。</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3</w:t>
      </w:r>
      <w:r>
        <w:rPr>
          <w:rFonts w:hint="default" w:ascii="Times New Roman" w:hAnsi="Times New Roman" w:eastAsia="仿宋_GB2312" w:cs="Times New Roman"/>
          <w:b w:val="0"/>
          <w:bCs w:val="0"/>
          <w:kern w:val="0"/>
          <w:sz w:val="32"/>
          <w:szCs w:val="32"/>
          <w:shd w:val="clear" w:color="auto" w:fill="FFFFFF"/>
          <w:lang w:val="en-US" w:eastAsia="zh-CN"/>
        </w:rPr>
        <w:t>.</w:t>
      </w:r>
      <w:r>
        <w:rPr>
          <w:rFonts w:hint="default" w:ascii="Times New Roman" w:hAnsi="Times New Roman" w:eastAsia="仿宋_GB2312" w:cs="Times New Roman"/>
          <w:b w:val="0"/>
          <w:bCs w:val="0"/>
          <w:kern w:val="0"/>
          <w:sz w:val="32"/>
          <w:szCs w:val="32"/>
          <w:shd w:val="clear" w:color="auto" w:fill="FFFFFF"/>
          <w:lang w:val="zh-CN"/>
        </w:rPr>
        <w:t>该项目建设资金列入“9·16”泸县地震灾后恢复重建项目（第四类生态修复和防灾减灾能力提升）</w:t>
      </w:r>
      <w:r>
        <w:rPr>
          <w:rFonts w:hint="default" w:ascii="Times New Roman" w:hAnsi="Times New Roman" w:eastAsia="仿宋_GB2312" w:cs="Times New Roman"/>
          <w:b w:val="0"/>
          <w:bCs w:val="0"/>
          <w:kern w:val="0"/>
          <w:sz w:val="32"/>
          <w:szCs w:val="32"/>
          <w:shd w:val="clear" w:color="auto" w:fill="FFFFFF"/>
        </w:rPr>
        <w:t>44大项</w:t>
      </w:r>
      <w:r>
        <w:rPr>
          <w:rFonts w:hint="default" w:ascii="Times New Roman" w:hAnsi="Times New Roman" w:eastAsia="仿宋_GB2312" w:cs="Times New Roman"/>
          <w:b w:val="0"/>
          <w:bCs w:val="0"/>
          <w:kern w:val="0"/>
          <w:sz w:val="32"/>
          <w:szCs w:val="32"/>
          <w:shd w:val="clear" w:color="auto" w:fill="FFFFFF"/>
          <w:lang w:val="zh-CN"/>
        </w:rPr>
        <w:t>按《“9·16”泸县地震灾后恢复重建项目实施与管理办法》（泸县府办函</w:t>
      </w:r>
      <w:r>
        <w:rPr>
          <w:rFonts w:hint="default" w:ascii="Times New Roman" w:hAnsi="Times New Roman" w:eastAsia="仿宋_GB2312" w:cs="Times New Roman"/>
          <w:sz w:val="32"/>
          <w:szCs w:val="32"/>
        </w:rPr>
        <w:t>〔2022〕</w:t>
      </w:r>
      <w:r>
        <w:rPr>
          <w:rFonts w:hint="default" w:ascii="Times New Roman" w:hAnsi="Times New Roman" w:eastAsia="仿宋_GB2312" w:cs="Times New Roman"/>
          <w:b w:val="0"/>
          <w:bCs w:val="0"/>
          <w:kern w:val="0"/>
          <w:sz w:val="32"/>
          <w:szCs w:val="32"/>
          <w:shd w:val="clear" w:color="auto" w:fill="FFFFFF"/>
        </w:rPr>
        <w:t>47号）</w:t>
      </w:r>
      <w:r>
        <w:rPr>
          <w:rFonts w:hint="default" w:ascii="Times New Roman" w:hAnsi="Times New Roman" w:eastAsia="仿宋_GB2312" w:cs="Times New Roman"/>
          <w:b w:val="0"/>
          <w:bCs w:val="0"/>
          <w:kern w:val="0"/>
          <w:sz w:val="32"/>
          <w:szCs w:val="32"/>
          <w:shd w:val="clear" w:color="auto" w:fill="FFFFFF"/>
          <w:lang w:val="zh-CN"/>
        </w:rPr>
        <w:t>进行管理，一是重建资金使用原则。重建资金要统筹安排，整合使用，用于地震灾区急需项目，坚持公开、公正、透明，全面实施绩效管理，接受社会各界监督。二是重建资金实行公开公示制度。灾后恢复重建项目的主管部门是重建资金公开公示主体，财政部门负责组织、指导和督促重建资金的公开公示工作。重建资金应当及时公开、内容准确、形式规范。三是重建资金申请和审批。中、省、市财政下达的救灾资金已明确到单位的项目，由县财政局直接下达到相关镇（街道）和县级部门。其他未明确项目的重建资金，按资金分配方案，报县重建委审批，由县财政局下达相关镇（街道）和县级部门。四是资金拨付程序。项目建设单位根据施工合同及项目实施进度情况向县重建委提出资金申请，主管部门、发展改革部门、财政部门根据自身职能职责进行审核，县重建委员会主任、政策制定与保障组组长、项目所属工作组组长签署审批意见，财政部门按程序拨付。五是资金监督。灾后恢复重建资金分配、拨付、使用应当接受纪委监委、审计、财政等部门的监督。任何单位和个人挪用、截留、挤占、骗取、侵吞、贪污、超范围使用救灾资金，按国务院《财政违法行为处罚处分条例》和有关救灾资金管理规定追究其责任；构成犯罪的，依法移送司法机关处理。</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kern w:val="0"/>
          <w:sz w:val="32"/>
          <w:szCs w:val="32"/>
          <w:shd w:val="clear" w:color="auto" w:fill="FFFFFF"/>
          <w:lang w:val="zh-CN"/>
        </w:rPr>
        <w:t>4</w:t>
      </w:r>
      <w:r>
        <w:rPr>
          <w:rFonts w:hint="default" w:ascii="Times New Roman" w:hAnsi="Times New Roman" w:eastAsia="仿宋_GB2312" w:cs="Times New Roman"/>
          <w:b w:val="0"/>
          <w:bCs w:val="0"/>
          <w:kern w:val="0"/>
          <w:sz w:val="32"/>
          <w:szCs w:val="32"/>
          <w:shd w:val="clear" w:color="auto" w:fill="FFFFFF"/>
          <w:lang w:val="en-US" w:eastAsia="zh-CN"/>
        </w:rPr>
        <w:t>.</w:t>
      </w:r>
      <w:r>
        <w:rPr>
          <w:rFonts w:hint="default" w:ascii="Times New Roman" w:hAnsi="Times New Roman" w:eastAsia="仿宋_GB2312" w:cs="Times New Roman"/>
          <w:b w:val="0"/>
          <w:bCs w:val="0"/>
          <w:kern w:val="0"/>
          <w:sz w:val="32"/>
          <w:szCs w:val="32"/>
          <w:shd w:val="clear" w:color="auto" w:fill="FFFFFF"/>
          <w:lang w:val="zh-CN"/>
        </w:rPr>
        <w:t>资金分配的原则及考虑因素。该资金下达我县后，我县整合中央资金</w:t>
      </w:r>
      <w:r>
        <w:rPr>
          <w:rFonts w:hint="default" w:ascii="Times New Roman" w:hAnsi="Times New Roman" w:eastAsia="仿宋_GB2312" w:cs="Times New Roman"/>
          <w:b w:val="0"/>
          <w:bCs w:val="0"/>
          <w:kern w:val="0"/>
          <w:sz w:val="32"/>
          <w:szCs w:val="32"/>
          <w:shd w:val="clear" w:color="auto" w:fill="FFFFFF"/>
        </w:rPr>
        <w:t>100万元和县级灾后恢复重建资金1840万元一起开展泸县森林防灾减灾项目的8个子项目内容，本资金主要用于泸县玉蟾山森林防灭火道路维修加固和硬化建设子项目。</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（二）项目绩效目标</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1</w:t>
      </w:r>
      <w:r>
        <w:rPr>
          <w:rFonts w:hint="default" w:ascii="Times New Roman" w:hAnsi="Times New Roman" w:eastAsia="仿宋_GB2312" w:cs="Times New Roman"/>
          <w:b w:val="0"/>
          <w:bCs w:val="0"/>
          <w:kern w:val="0"/>
          <w:sz w:val="32"/>
          <w:szCs w:val="32"/>
          <w:shd w:val="clear" w:color="auto" w:fill="FFFFFF"/>
          <w:lang w:val="en-US" w:eastAsia="zh-CN"/>
        </w:rPr>
        <w:t>.</w:t>
      </w:r>
      <w:r>
        <w:rPr>
          <w:rFonts w:hint="default" w:ascii="Times New Roman" w:hAnsi="Times New Roman" w:eastAsia="仿宋_GB2312" w:cs="Times New Roman"/>
          <w:b w:val="0"/>
          <w:bCs w:val="0"/>
          <w:kern w:val="0"/>
          <w:sz w:val="32"/>
          <w:szCs w:val="32"/>
          <w:shd w:val="clear" w:color="auto" w:fill="FFFFFF"/>
          <w:lang w:val="zh-CN"/>
        </w:rPr>
        <w:t>项目主要内容：恢复重建管护用房，消防水池，森林防灭火道路约5公里，维修和购置相关设施设备。</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2</w:t>
      </w:r>
      <w:r>
        <w:rPr>
          <w:rFonts w:hint="default" w:ascii="Times New Roman" w:hAnsi="Times New Roman" w:eastAsia="仿宋_GB2312" w:cs="Times New Roman"/>
          <w:b w:val="0"/>
          <w:bCs w:val="0"/>
          <w:kern w:val="0"/>
          <w:sz w:val="32"/>
          <w:szCs w:val="32"/>
          <w:shd w:val="clear" w:color="auto" w:fill="FFFFFF"/>
          <w:lang w:val="en-US" w:eastAsia="zh-CN"/>
        </w:rPr>
        <w:t>.</w:t>
      </w:r>
      <w:r>
        <w:rPr>
          <w:rFonts w:hint="default" w:ascii="Times New Roman" w:hAnsi="Times New Roman" w:eastAsia="仿宋_GB2312" w:cs="Times New Roman"/>
          <w:b w:val="0"/>
          <w:bCs w:val="0"/>
          <w:kern w:val="0"/>
          <w:sz w:val="32"/>
          <w:szCs w:val="32"/>
          <w:shd w:val="clear" w:color="auto" w:fill="FFFFFF"/>
          <w:lang w:val="zh-CN"/>
        </w:rPr>
        <w:t>项目应实现的具体绩效目标：</w:t>
      </w:r>
    </w:p>
    <w:tbl>
      <w:tblPr>
        <w:tblStyle w:val="18"/>
        <w:tblW w:w="8178" w:type="dxa"/>
        <w:jc w:val="center"/>
        <w:tblLayout w:type="autofit"/>
        <w:tblCellMar>
          <w:top w:w="0" w:type="dxa"/>
          <w:left w:w="108" w:type="dxa"/>
          <w:bottom w:w="0" w:type="dxa"/>
          <w:right w:w="108" w:type="dxa"/>
        </w:tblCellMar>
      </w:tblPr>
      <w:tblGrid>
        <w:gridCol w:w="1551"/>
        <w:gridCol w:w="2397"/>
        <w:gridCol w:w="2773"/>
        <w:gridCol w:w="1457"/>
      </w:tblGrid>
      <w:tr>
        <w:tblPrEx>
          <w:tblCellMar>
            <w:top w:w="0" w:type="dxa"/>
            <w:left w:w="108" w:type="dxa"/>
            <w:bottom w:w="0" w:type="dxa"/>
            <w:right w:w="108" w:type="dxa"/>
          </w:tblCellMar>
        </w:tblPrEx>
        <w:trPr>
          <w:trHeight w:val="712"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一级指标</w:t>
            </w:r>
          </w:p>
        </w:tc>
        <w:tc>
          <w:tcPr>
            <w:tcW w:w="23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二级指标</w:t>
            </w:r>
          </w:p>
        </w:tc>
        <w:tc>
          <w:tcPr>
            <w:tcW w:w="2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三级指标</w:t>
            </w:r>
          </w:p>
        </w:tc>
        <w:tc>
          <w:tcPr>
            <w:tcW w:w="14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指标值</w:t>
            </w:r>
          </w:p>
        </w:tc>
      </w:tr>
      <w:tr>
        <w:tblPrEx>
          <w:tblCellMar>
            <w:top w:w="0" w:type="dxa"/>
            <w:left w:w="108" w:type="dxa"/>
            <w:bottom w:w="0" w:type="dxa"/>
            <w:right w:w="108" w:type="dxa"/>
          </w:tblCellMar>
        </w:tblPrEx>
        <w:trPr>
          <w:trHeight w:val="712"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产出指标</w:t>
            </w:r>
          </w:p>
        </w:tc>
        <w:tc>
          <w:tcPr>
            <w:tcW w:w="239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数量指标</w:t>
            </w:r>
          </w:p>
        </w:tc>
        <w:tc>
          <w:tcPr>
            <w:tcW w:w="277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支持项目数量</w:t>
            </w:r>
          </w:p>
        </w:tc>
        <w:tc>
          <w:tcPr>
            <w:tcW w:w="145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1个</w:t>
            </w:r>
          </w:p>
        </w:tc>
      </w:tr>
      <w:tr>
        <w:tblPrEx>
          <w:tblCellMar>
            <w:top w:w="0" w:type="dxa"/>
            <w:left w:w="108" w:type="dxa"/>
            <w:bottom w:w="0" w:type="dxa"/>
            <w:right w:w="108" w:type="dxa"/>
          </w:tblCellMar>
        </w:tblPrEx>
        <w:trPr>
          <w:trHeight w:val="712"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产出指标</w:t>
            </w:r>
          </w:p>
        </w:tc>
        <w:tc>
          <w:tcPr>
            <w:tcW w:w="239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质量指标</w:t>
            </w:r>
          </w:p>
        </w:tc>
        <w:tc>
          <w:tcPr>
            <w:tcW w:w="277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项目开工率</w:t>
            </w:r>
          </w:p>
        </w:tc>
        <w:tc>
          <w:tcPr>
            <w:tcW w:w="145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90%</w:t>
            </w:r>
          </w:p>
        </w:tc>
      </w:tr>
      <w:tr>
        <w:tblPrEx>
          <w:tblCellMar>
            <w:top w:w="0" w:type="dxa"/>
            <w:left w:w="108" w:type="dxa"/>
            <w:bottom w:w="0" w:type="dxa"/>
            <w:right w:w="108" w:type="dxa"/>
          </w:tblCellMar>
        </w:tblPrEx>
        <w:trPr>
          <w:trHeight w:val="712"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产出指标</w:t>
            </w:r>
          </w:p>
        </w:tc>
        <w:tc>
          <w:tcPr>
            <w:tcW w:w="239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时效指标</w:t>
            </w:r>
          </w:p>
        </w:tc>
        <w:tc>
          <w:tcPr>
            <w:tcW w:w="277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项目建设按期完期完成验收率</w:t>
            </w:r>
          </w:p>
        </w:tc>
        <w:tc>
          <w:tcPr>
            <w:tcW w:w="145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80%</w:t>
            </w:r>
          </w:p>
        </w:tc>
      </w:tr>
      <w:tr>
        <w:tblPrEx>
          <w:tblCellMar>
            <w:top w:w="0" w:type="dxa"/>
            <w:left w:w="108" w:type="dxa"/>
            <w:bottom w:w="0" w:type="dxa"/>
            <w:right w:w="108" w:type="dxa"/>
          </w:tblCellMar>
        </w:tblPrEx>
        <w:trPr>
          <w:trHeight w:val="712"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效益指标</w:t>
            </w:r>
          </w:p>
        </w:tc>
        <w:tc>
          <w:tcPr>
            <w:tcW w:w="239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成本指标</w:t>
            </w:r>
          </w:p>
        </w:tc>
        <w:tc>
          <w:tcPr>
            <w:tcW w:w="277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省预算内资金支付</w:t>
            </w:r>
          </w:p>
        </w:tc>
        <w:tc>
          <w:tcPr>
            <w:tcW w:w="145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65%</w:t>
            </w:r>
          </w:p>
        </w:tc>
      </w:tr>
      <w:tr>
        <w:tblPrEx>
          <w:tblCellMar>
            <w:top w:w="0" w:type="dxa"/>
            <w:left w:w="108" w:type="dxa"/>
            <w:bottom w:w="0" w:type="dxa"/>
            <w:right w:w="108" w:type="dxa"/>
          </w:tblCellMar>
        </w:tblPrEx>
        <w:trPr>
          <w:trHeight w:val="712"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效益指标</w:t>
            </w:r>
          </w:p>
        </w:tc>
        <w:tc>
          <w:tcPr>
            <w:tcW w:w="239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经济效益指标</w:t>
            </w:r>
          </w:p>
        </w:tc>
        <w:tc>
          <w:tcPr>
            <w:tcW w:w="277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带动就业人数</w:t>
            </w:r>
          </w:p>
        </w:tc>
        <w:tc>
          <w:tcPr>
            <w:tcW w:w="145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200人</w:t>
            </w:r>
          </w:p>
        </w:tc>
      </w:tr>
      <w:tr>
        <w:tblPrEx>
          <w:tblCellMar>
            <w:top w:w="0" w:type="dxa"/>
            <w:left w:w="108" w:type="dxa"/>
            <w:bottom w:w="0" w:type="dxa"/>
            <w:right w:w="108" w:type="dxa"/>
          </w:tblCellMar>
        </w:tblPrEx>
        <w:trPr>
          <w:trHeight w:val="712"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效益指标</w:t>
            </w:r>
          </w:p>
        </w:tc>
        <w:tc>
          <w:tcPr>
            <w:tcW w:w="239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社会效益指标</w:t>
            </w:r>
          </w:p>
        </w:tc>
        <w:tc>
          <w:tcPr>
            <w:tcW w:w="277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基本公共服务</w:t>
            </w:r>
          </w:p>
        </w:tc>
        <w:tc>
          <w:tcPr>
            <w:tcW w:w="145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sz w:val="24"/>
                <w:szCs w:val="24"/>
              </w:rPr>
              <w:t>恢复</w:t>
            </w:r>
          </w:p>
        </w:tc>
      </w:tr>
      <w:tr>
        <w:tblPrEx>
          <w:tblCellMar>
            <w:top w:w="0" w:type="dxa"/>
            <w:left w:w="108" w:type="dxa"/>
            <w:bottom w:w="0" w:type="dxa"/>
            <w:right w:w="108" w:type="dxa"/>
          </w:tblCellMar>
        </w:tblPrEx>
        <w:trPr>
          <w:trHeight w:val="712"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效益指标</w:t>
            </w:r>
          </w:p>
        </w:tc>
        <w:tc>
          <w:tcPr>
            <w:tcW w:w="239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生态效益指标</w:t>
            </w:r>
          </w:p>
        </w:tc>
        <w:tc>
          <w:tcPr>
            <w:tcW w:w="277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生态环境质量改善效果</w:t>
            </w:r>
          </w:p>
        </w:tc>
        <w:tc>
          <w:tcPr>
            <w:tcW w:w="145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sz w:val="24"/>
                <w:szCs w:val="24"/>
              </w:rPr>
              <w:t>明显</w:t>
            </w:r>
          </w:p>
        </w:tc>
      </w:tr>
      <w:tr>
        <w:tblPrEx>
          <w:tblCellMar>
            <w:top w:w="0" w:type="dxa"/>
            <w:left w:w="108" w:type="dxa"/>
            <w:bottom w:w="0" w:type="dxa"/>
            <w:right w:w="108" w:type="dxa"/>
          </w:tblCellMar>
        </w:tblPrEx>
        <w:trPr>
          <w:trHeight w:val="752"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效益指标</w:t>
            </w:r>
          </w:p>
        </w:tc>
        <w:tc>
          <w:tcPr>
            <w:tcW w:w="239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可持续影响指标</w:t>
            </w:r>
          </w:p>
        </w:tc>
        <w:tc>
          <w:tcPr>
            <w:tcW w:w="277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项目持续发挥作用</w:t>
            </w:r>
          </w:p>
        </w:tc>
        <w:tc>
          <w:tcPr>
            <w:tcW w:w="145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sz w:val="24"/>
                <w:szCs w:val="24"/>
              </w:rPr>
              <w:t>持续</w:t>
            </w:r>
          </w:p>
        </w:tc>
      </w:tr>
      <w:tr>
        <w:tblPrEx>
          <w:tblCellMar>
            <w:top w:w="0" w:type="dxa"/>
            <w:left w:w="108" w:type="dxa"/>
            <w:bottom w:w="0" w:type="dxa"/>
            <w:right w:w="108" w:type="dxa"/>
          </w:tblCellMar>
        </w:tblPrEx>
        <w:trPr>
          <w:trHeight w:val="722"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满意度指标</w:t>
            </w:r>
          </w:p>
        </w:tc>
        <w:tc>
          <w:tcPr>
            <w:tcW w:w="239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满意度指标</w:t>
            </w:r>
          </w:p>
        </w:tc>
        <w:tc>
          <w:tcPr>
            <w:tcW w:w="277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受益群众满意度</w:t>
            </w:r>
          </w:p>
        </w:tc>
        <w:tc>
          <w:tcPr>
            <w:tcW w:w="1457"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widowControl/>
              <w:kinsoku/>
              <w:wordWrap/>
              <w:overflowPunct/>
              <w:topLinePunct w:val="0"/>
              <w:autoSpaceDE/>
              <w:autoSpaceDN/>
              <w:bidi w:val="0"/>
              <w:spacing w:line="578" w:lineRule="exact"/>
              <w:jc w:val="center"/>
              <w:textAlignment w:val="center"/>
              <w:rPr>
                <w:rFonts w:hint="default" w:ascii="Times New Roman" w:hAnsi="Times New Roman" w:eastAsia="仿宋_GB2312" w:cs="Times New Roman"/>
                <w:b w:val="0"/>
                <w:bCs w:val="0"/>
                <w:sz w:val="24"/>
                <w:szCs w:val="24"/>
              </w:rPr>
            </w:pPr>
            <w:r>
              <w:rPr>
                <w:rFonts w:hint="default" w:ascii="Times New Roman" w:hAnsi="Times New Roman" w:eastAsia="仿宋_GB2312" w:cs="Times New Roman"/>
                <w:b w:val="0"/>
                <w:bCs w:val="0"/>
                <w:kern w:val="0"/>
                <w:sz w:val="24"/>
                <w:szCs w:val="24"/>
              </w:rPr>
              <w:t>满意</w:t>
            </w:r>
          </w:p>
        </w:tc>
      </w:tr>
    </w:tbl>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kern w:val="0"/>
          <w:sz w:val="32"/>
          <w:szCs w:val="32"/>
          <w:shd w:val="clear" w:color="auto" w:fill="FFFFFF"/>
          <w:lang w:val="zh-CN"/>
        </w:rPr>
        <w:t>项目进度目标：</w:t>
      </w:r>
      <w:r>
        <w:rPr>
          <w:rFonts w:hint="default" w:ascii="Times New Roman" w:hAnsi="Times New Roman" w:eastAsia="仿宋_GB2312" w:cs="Times New Roman"/>
          <w:b w:val="0"/>
          <w:bCs w:val="0"/>
          <w:kern w:val="0"/>
          <w:sz w:val="32"/>
          <w:szCs w:val="32"/>
          <w:shd w:val="clear" w:color="auto" w:fill="FFFFFF"/>
        </w:rPr>
        <w:t>2022年度</w:t>
      </w:r>
      <w:r>
        <w:rPr>
          <w:rFonts w:hint="default" w:ascii="Times New Roman" w:hAnsi="Times New Roman" w:eastAsia="仿宋_GB2312" w:cs="Times New Roman"/>
          <w:b w:val="0"/>
          <w:bCs w:val="0"/>
          <w:kern w:val="0"/>
          <w:sz w:val="32"/>
          <w:szCs w:val="32"/>
          <w:shd w:val="clear" w:color="auto" w:fill="FFFFFF"/>
          <w:lang w:val="zh-CN"/>
        </w:rPr>
        <w:t>完成泸县国有林场龙贯山工区管护站异地重建、森林防灭火消防水池和视频监控设备维修项目全部建设内容；泸县国有林场龙岩工区管护站、玉蟾森林公园管护用房、玉蟾山金鳌峰了望台和玉蟾山管护用房恢复重建项目基础建设工作；玉蟾山森林防灭火道路加固维修建设项目的前期准备；</w:t>
      </w:r>
      <w:r>
        <w:rPr>
          <w:rFonts w:hint="default" w:ascii="Times New Roman" w:hAnsi="Times New Roman" w:eastAsia="仿宋_GB2312" w:cs="Times New Roman"/>
          <w:b w:val="0"/>
          <w:bCs w:val="0"/>
          <w:kern w:val="0"/>
          <w:sz w:val="32"/>
          <w:szCs w:val="32"/>
          <w:shd w:val="clear" w:color="auto" w:fill="FFFFFF"/>
        </w:rPr>
        <w:t>2023年10月底前全面完成所有建设内容。</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3</w:t>
      </w:r>
      <w:r>
        <w:rPr>
          <w:rFonts w:hint="default" w:ascii="Times New Roman" w:hAnsi="Times New Roman" w:eastAsia="仿宋_GB2312" w:cs="Times New Roman"/>
          <w:b w:val="0"/>
          <w:bCs w:val="0"/>
          <w:kern w:val="0"/>
          <w:sz w:val="32"/>
          <w:szCs w:val="32"/>
          <w:shd w:val="clear" w:color="auto" w:fill="FFFFFF"/>
          <w:lang w:val="en-US" w:eastAsia="zh-CN"/>
        </w:rPr>
        <w:t>.</w:t>
      </w:r>
      <w:r>
        <w:rPr>
          <w:rFonts w:hint="default" w:ascii="Times New Roman" w:hAnsi="Times New Roman" w:eastAsia="仿宋_GB2312" w:cs="Times New Roman"/>
          <w:b w:val="0"/>
          <w:bCs w:val="0"/>
          <w:kern w:val="0"/>
          <w:sz w:val="32"/>
          <w:szCs w:val="32"/>
          <w:shd w:val="clear" w:color="auto" w:fill="FFFFFF"/>
          <w:lang w:val="zh-CN"/>
        </w:rPr>
        <w:t>该项目申报内容与实际相符，申报目标合理可行。</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（三）项目自评步骤及方法</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项目自评工作在泸县发展和改革局和县财政局的指导下成立由单位纪律、财务和监督等部门组成的自评小组，召开专题会议，制订自评方案，采取现场踏查与内业检查相结合的方法开展项目自评工作。</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二、项目资金申报及使用情况</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（一）项目资金申报及批复情况</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该项目申请总投资</w:t>
      </w:r>
      <w:r>
        <w:rPr>
          <w:rFonts w:hint="default" w:ascii="Times New Roman" w:hAnsi="Times New Roman" w:eastAsia="仿宋_GB2312" w:cs="Times New Roman"/>
          <w:b w:val="0"/>
          <w:bCs w:val="0"/>
          <w:kern w:val="0"/>
          <w:sz w:val="32"/>
          <w:szCs w:val="32"/>
          <w:shd w:val="clear" w:color="auto" w:fill="FFFFFF"/>
        </w:rPr>
        <w:t>1720万元</w:t>
      </w:r>
      <w:r>
        <w:rPr>
          <w:rFonts w:hint="default" w:ascii="Times New Roman" w:hAnsi="Times New Roman" w:eastAsia="仿宋_GB2312" w:cs="Times New Roman"/>
          <w:b w:val="0"/>
          <w:bCs w:val="0"/>
          <w:kern w:val="0"/>
          <w:sz w:val="32"/>
          <w:szCs w:val="32"/>
          <w:shd w:val="clear" w:color="auto" w:fill="FFFFFF"/>
          <w:lang w:val="zh-CN"/>
        </w:rPr>
        <w:t>，申请省预算内资金</w:t>
      </w:r>
      <w:r>
        <w:rPr>
          <w:rFonts w:hint="default" w:ascii="Times New Roman" w:hAnsi="Times New Roman" w:eastAsia="仿宋_GB2312" w:cs="Times New Roman"/>
          <w:b w:val="0"/>
          <w:bCs w:val="0"/>
          <w:kern w:val="0"/>
          <w:sz w:val="32"/>
          <w:szCs w:val="32"/>
          <w:shd w:val="clear" w:color="auto" w:fill="FFFFFF"/>
        </w:rPr>
        <w:t>500万元，</w:t>
      </w:r>
      <w:r>
        <w:rPr>
          <w:rFonts w:hint="default" w:ascii="Times New Roman" w:hAnsi="Times New Roman" w:eastAsia="仿宋_GB2312" w:cs="Times New Roman"/>
          <w:b w:val="0"/>
          <w:bCs w:val="0"/>
          <w:kern w:val="0"/>
          <w:sz w:val="32"/>
          <w:szCs w:val="32"/>
          <w:shd w:val="clear" w:color="auto" w:fill="FFFFFF"/>
          <w:lang w:val="zh-CN"/>
        </w:rPr>
        <w:t>于</w:t>
      </w:r>
      <w:r>
        <w:rPr>
          <w:rFonts w:hint="default" w:ascii="Times New Roman" w:hAnsi="Times New Roman" w:eastAsia="仿宋_GB2312" w:cs="Times New Roman"/>
          <w:b w:val="0"/>
          <w:bCs w:val="0"/>
          <w:kern w:val="0"/>
          <w:sz w:val="32"/>
          <w:szCs w:val="32"/>
          <w:shd w:val="clear" w:color="auto" w:fill="FFFFFF"/>
        </w:rPr>
        <w:t>2022年5月20日经泸县发展和改革局审批立项，同意项目按《</w:t>
      </w:r>
      <w:r>
        <w:rPr>
          <w:rFonts w:hint="default" w:ascii="Times New Roman" w:hAnsi="Times New Roman" w:eastAsia="仿宋_GB2312" w:cs="Times New Roman"/>
          <w:b w:val="0"/>
          <w:bCs w:val="0"/>
          <w:sz w:val="32"/>
          <w:szCs w:val="32"/>
        </w:rPr>
        <w:t>泸县森林防灾减灾项目实施方案》申报内容和时限内</w:t>
      </w:r>
      <w:r>
        <w:rPr>
          <w:rFonts w:hint="default" w:ascii="Times New Roman" w:hAnsi="Times New Roman" w:eastAsia="仿宋_GB2312" w:cs="Times New Roman"/>
          <w:b w:val="0"/>
          <w:bCs w:val="0"/>
          <w:kern w:val="0"/>
          <w:sz w:val="32"/>
          <w:szCs w:val="32"/>
          <w:shd w:val="clear" w:color="auto" w:fill="FFFFFF"/>
        </w:rPr>
        <w:t>实施</w:t>
      </w:r>
      <w:r>
        <w:rPr>
          <w:rFonts w:hint="default" w:ascii="Times New Roman" w:hAnsi="Times New Roman" w:eastAsia="仿宋_GB2312" w:cs="Times New Roman"/>
          <w:b w:val="0"/>
          <w:bCs w:val="0"/>
          <w:kern w:val="0"/>
          <w:sz w:val="32"/>
          <w:szCs w:val="32"/>
          <w:shd w:val="clear" w:color="auto" w:fill="FFFFFF"/>
          <w:lang w:val="zh-CN"/>
        </w:rPr>
        <w:t>。</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（二）资金计划、到位及使用情况</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kern w:val="0"/>
          <w:sz w:val="32"/>
          <w:szCs w:val="32"/>
          <w:shd w:val="clear" w:color="auto" w:fill="FFFFFF"/>
          <w:lang w:val="zh-CN"/>
        </w:rPr>
        <w:t>1</w:t>
      </w:r>
      <w:r>
        <w:rPr>
          <w:rFonts w:hint="default" w:ascii="Times New Roman" w:hAnsi="Times New Roman" w:eastAsia="仿宋_GB2312" w:cs="Times New Roman"/>
          <w:b w:val="0"/>
          <w:bCs w:val="0"/>
          <w:kern w:val="0"/>
          <w:sz w:val="32"/>
          <w:szCs w:val="32"/>
          <w:shd w:val="clear" w:color="auto" w:fill="FFFFFF"/>
          <w:lang w:val="en-US" w:eastAsia="zh-CN"/>
        </w:rPr>
        <w:t>.</w:t>
      </w:r>
      <w:r>
        <w:rPr>
          <w:rFonts w:hint="default" w:ascii="Times New Roman" w:hAnsi="Times New Roman" w:eastAsia="仿宋_GB2312" w:cs="Times New Roman"/>
          <w:b w:val="0"/>
          <w:bCs w:val="0"/>
          <w:kern w:val="0"/>
          <w:sz w:val="32"/>
          <w:szCs w:val="32"/>
          <w:shd w:val="clear" w:color="auto" w:fill="FFFFFF"/>
          <w:lang w:val="zh-CN"/>
        </w:rPr>
        <w:t>资金计划。</w:t>
      </w:r>
      <w:r>
        <w:rPr>
          <w:rFonts w:hint="eastAsia" w:eastAsia="仿宋_GB2312" w:cs="Times New Roman"/>
          <w:b w:val="0"/>
          <w:bCs w:val="0"/>
          <w:kern w:val="0"/>
          <w:sz w:val="32"/>
          <w:szCs w:val="32"/>
          <w:shd w:val="clear" w:color="auto" w:fill="FFFFFF"/>
          <w:lang w:val="zh-CN"/>
        </w:rPr>
        <w:t>截至目前</w:t>
      </w:r>
      <w:r>
        <w:rPr>
          <w:rFonts w:hint="default" w:ascii="Times New Roman" w:hAnsi="Times New Roman" w:eastAsia="仿宋_GB2312" w:cs="Times New Roman"/>
          <w:b w:val="0"/>
          <w:bCs w:val="0"/>
          <w:kern w:val="0"/>
          <w:sz w:val="32"/>
          <w:szCs w:val="32"/>
          <w:shd w:val="clear" w:color="auto" w:fill="FFFFFF"/>
          <w:lang w:val="zh-CN"/>
        </w:rPr>
        <w:t>，</w:t>
      </w:r>
      <w:r>
        <w:rPr>
          <w:rFonts w:hint="default" w:ascii="Times New Roman" w:hAnsi="Times New Roman" w:eastAsia="仿宋_GB2312" w:cs="Times New Roman"/>
          <w:b w:val="0"/>
          <w:bCs w:val="0"/>
          <w:sz w:val="32"/>
          <w:szCs w:val="32"/>
        </w:rPr>
        <w:t>该项目拟投入总资金为1720万元，省预算内资金500万元，县级财政资金1220万元。</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kern w:val="0"/>
          <w:sz w:val="32"/>
          <w:szCs w:val="32"/>
          <w:shd w:val="clear" w:color="auto" w:fill="FFFFFF"/>
          <w:lang w:val="zh-CN"/>
        </w:rPr>
        <w:t>2</w:t>
      </w:r>
      <w:r>
        <w:rPr>
          <w:rFonts w:hint="default" w:ascii="Times New Roman" w:hAnsi="Times New Roman" w:eastAsia="仿宋_GB2312" w:cs="Times New Roman"/>
          <w:b w:val="0"/>
          <w:bCs w:val="0"/>
          <w:kern w:val="0"/>
          <w:sz w:val="32"/>
          <w:szCs w:val="32"/>
          <w:shd w:val="clear" w:color="auto" w:fill="FFFFFF"/>
          <w:lang w:val="en-US" w:eastAsia="zh-CN"/>
        </w:rPr>
        <w:t>.</w:t>
      </w:r>
      <w:r>
        <w:rPr>
          <w:rFonts w:hint="default" w:ascii="Times New Roman" w:hAnsi="Times New Roman" w:eastAsia="仿宋_GB2312" w:cs="Times New Roman"/>
          <w:b w:val="0"/>
          <w:bCs w:val="0"/>
          <w:kern w:val="0"/>
          <w:sz w:val="32"/>
          <w:szCs w:val="32"/>
          <w:shd w:val="clear" w:color="auto" w:fill="FFFFFF"/>
          <w:lang w:val="zh-CN"/>
        </w:rPr>
        <w:t>资金到位。</w:t>
      </w:r>
      <w:r>
        <w:rPr>
          <w:rFonts w:hint="eastAsia" w:eastAsia="仿宋_GB2312" w:cs="Times New Roman"/>
          <w:b w:val="0"/>
          <w:bCs w:val="0"/>
          <w:kern w:val="0"/>
          <w:sz w:val="32"/>
          <w:szCs w:val="32"/>
          <w:shd w:val="clear" w:color="auto" w:fill="FFFFFF"/>
          <w:lang w:val="zh-CN"/>
        </w:rPr>
        <w:t>截至目前</w:t>
      </w:r>
      <w:r>
        <w:rPr>
          <w:rFonts w:hint="default" w:ascii="Times New Roman" w:hAnsi="Times New Roman" w:eastAsia="仿宋_GB2312" w:cs="Times New Roman"/>
          <w:b w:val="0"/>
          <w:bCs w:val="0"/>
          <w:kern w:val="0"/>
          <w:sz w:val="32"/>
          <w:szCs w:val="32"/>
          <w:shd w:val="clear" w:color="auto" w:fill="FFFFFF"/>
          <w:lang w:val="zh-CN"/>
        </w:rPr>
        <w:t>，</w:t>
      </w:r>
      <w:r>
        <w:rPr>
          <w:rFonts w:hint="default" w:ascii="Times New Roman" w:hAnsi="Times New Roman" w:eastAsia="仿宋_GB2312" w:cs="Times New Roman"/>
          <w:b w:val="0"/>
          <w:bCs w:val="0"/>
          <w:kern w:val="0"/>
          <w:sz w:val="32"/>
          <w:szCs w:val="32"/>
          <w:shd w:val="clear" w:color="auto" w:fill="FFFFFF"/>
        </w:rPr>
        <w:t>省级资金500万元全部到位，到位率为100%；县级财政资金1220万元已全部到位，到位率为100%。</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3</w:t>
      </w:r>
      <w:r>
        <w:rPr>
          <w:rFonts w:hint="default" w:ascii="Times New Roman" w:hAnsi="Times New Roman" w:eastAsia="仿宋_GB2312" w:cs="Times New Roman"/>
          <w:b w:val="0"/>
          <w:bCs w:val="0"/>
          <w:kern w:val="0"/>
          <w:sz w:val="32"/>
          <w:szCs w:val="32"/>
          <w:shd w:val="clear" w:color="auto" w:fill="FFFFFF"/>
          <w:lang w:val="en-US" w:eastAsia="zh-CN"/>
        </w:rPr>
        <w:t>.</w:t>
      </w:r>
      <w:r>
        <w:rPr>
          <w:rFonts w:hint="default" w:ascii="Times New Roman" w:hAnsi="Times New Roman" w:eastAsia="仿宋_GB2312" w:cs="Times New Roman"/>
          <w:b w:val="0"/>
          <w:bCs w:val="0"/>
          <w:kern w:val="0"/>
          <w:sz w:val="32"/>
          <w:szCs w:val="32"/>
          <w:shd w:val="clear" w:color="auto" w:fill="FFFFFF"/>
          <w:lang w:val="zh-CN"/>
        </w:rPr>
        <w:t>资金使用。</w:t>
      </w:r>
      <w:r>
        <w:rPr>
          <w:rFonts w:hint="eastAsia" w:eastAsia="仿宋_GB2312" w:cs="Times New Roman"/>
          <w:b w:val="0"/>
          <w:bCs w:val="0"/>
          <w:kern w:val="0"/>
          <w:sz w:val="32"/>
          <w:szCs w:val="32"/>
          <w:shd w:val="clear" w:color="auto" w:fill="FFFFFF"/>
          <w:lang w:val="zh-CN"/>
        </w:rPr>
        <w:t>截至目前</w:t>
      </w:r>
      <w:r>
        <w:rPr>
          <w:rFonts w:hint="default" w:ascii="Times New Roman" w:hAnsi="Times New Roman" w:eastAsia="仿宋_GB2312" w:cs="Times New Roman"/>
          <w:b w:val="0"/>
          <w:bCs w:val="0"/>
          <w:kern w:val="0"/>
          <w:sz w:val="32"/>
          <w:szCs w:val="32"/>
          <w:shd w:val="clear" w:color="auto" w:fill="FFFFFF"/>
          <w:lang w:val="zh-CN"/>
        </w:rPr>
        <w:t>，该项目已支付省预算内资金</w:t>
      </w:r>
      <w:r>
        <w:rPr>
          <w:rFonts w:hint="default" w:ascii="Times New Roman" w:hAnsi="Times New Roman" w:eastAsia="仿宋_GB2312" w:cs="Times New Roman"/>
          <w:b w:val="0"/>
          <w:bCs w:val="0"/>
          <w:kern w:val="0"/>
          <w:sz w:val="32"/>
          <w:szCs w:val="32"/>
          <w:shd w:val="clear" w:color="auto" w:fill="FFFFFF"/>
        </w:rPr>
        <w:t>126万元，在资金使用上严格按照</w:t>
      </w:r>
      <w:r>
        <w:rPr>
          <w:rFonts w:hint="default" w:ascii="Times New Roman" w:hAnsi="Times New Roman" w:eastAsia="仿宋_GB2312" w:cs="Times New Roman"/>
          <w:b w:val="0"/>
          <w:bCs w:val="0"/>
          <w:kern w:val="0"/>
          <w:sz w:val="32"/>
          <w:szCs w:val="32"/>
          <w:shd w:val="clear" w:color="auto" w:fill="FFFFFF"/>
          <w:lang w:val="zh-CN"/>
        </w:rPr>
        <w:t>《“9·16”泸县地震灾后恢复重建项目实施与管理办法》（泸县府办函</w:t>
      </w:r>
      <w:r>
        <w:rPr>
          <w:rFonts w:hint="default" w:ascii="Times New Roman" w:hAnsi="Times New Roman" w:eastAsia="仿宋_GB2312" w:cs="Times New Roman"/>
          <w:sz w:val="32"/>
          <w:szCs w:val="32"/>
        </w:rPr>
        <w:t>〔2022〕</w:t>
      </w:r>
      <w:r>
        <w:rPr>
          <w:rFonts w:hint="default" w:ascii="Times New Roman" w:hAnsi="Times New Roman" w:eastAsia="仿宋_GB2312" w:cs="Times New Roman"/>
          <w:b w:val="0"/>
          <w:bCs w:val="0"/>
          <w:kern w:val="0"/>
          <w:sz w:val="32"/>
          <w:szCs w:val="32"/>
          <w:shd w:val="clear" w:color="auto" w:fill="FFFFFF"/>
        </w:rPr>
        <w:t>47号）</w:t>
      </w:r>
      <w:r>
        <w:rPr>
          <w:rFonts w:hint="default" w:ascii="Times New Roman" w:hAnsi="Times New Roman" w:eastAsia="仿宋_GB2312" w:cs="Times New Roman"/>
          <w:b w:val="0"/>
          <w:bCs w:val="0"/>
          <w:kern w:val="0"/>
          <w:sz w:val="32"/>
          <w:szCs w:val="32"/>
          <w:shd w:val="clear" w:color="auto" w:fill="FFFFFF"/>
          <w:lang w:val="zh-CN"/>
        </w:rPr>
        <w:t>重建资金使用和资金拨付的要求和原则执行，</w:t>
      </w:r>
      <w:r>
        <w:rPr>
          <w:rFonts w:hint="default" w:ascii="Times New Roman" w:hAnsi="Times New Roman" w:eastAsia="仿宋_GB2312" w:cs="Times New Roman"/>
          <w:b w:val="0"/>
          <w:bCs w:val="0"/>
          <w:kern w:val="0"/>
          <w:sz w:val="32"/>
          <w:szCs w:val="32"/>
          <w:shd w:val="clear" w:color="auto" w:fill="FFFFFF"/>
        </w:rPr>
        <w:t>资金使用安全、规范，支付依据合规合法，与预算相符。</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（三）项目财务管理情况</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该项目实施单位财务管理制度健全，严格执行财务管理制度，账务处理及时，会计核算规范。</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方正黑体_GBK" w:cs="Times New Roman"/>
          <w:b w:val="0"/>
          <w:bCs w:val="0"/>
          <w:kern w:val="0"/>
          <w:sz w:val="32"/>
          <w:szCs w:val="32"/>
          <w:shd w:val="clear" w:color="auto" w:fill="FFFFFF"/>
          <w:lang w:val="zh-CN"/>
        </w:rPr>
      </w:pPr>
      <w:r>
        <w:rPr>
          <w:rFonts w:hint="default" w:ascii="Times New Roman" w:hAnsi="Times New Roman" w:eastAsia="方正黑体_GBK" w:cs="Times New Roman"/>
          <w:b w:val="0"/>
          <w:bCs w:val="0"/>
          <w:sz w:val="32"/>
          <w:szCs w:val="32"/>
        </w:rPr>
        <w:t>三、项目实施及管理情况</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仿宋_GB2312" w:cs="Times New Roman"/>
          <w:b w:val="0"/>
          <w:bCs w:val="0"/>
          <w:sz w:val="32"/>
          <w:szCs w:val="32"/>
          <w:lang w:val="zh-CN"/>
        </w:rPr>
      </w:pPr>
      <w:r>
        <w:rPr>
          <w:rFonts w:hint="default" w:ascii="Times New Roman" w:hAnsi="Times New Roman" w:eastAsia="仿宋_GB2312" w:cs="Times New Roman"/>
          <w:b w:val="0"/>
          <w:bCs w:val="0"/>
          <w:sz w:val="32"/>
          <w:szCs w:val="32"/>
          <w:lang w:val="zh-CN"/>
        </w:rPr>
        <w:t>（一）项目组织架构及实施流程。由泸县自然资源和规划局建立工作专班开展方案编制、用地审批、立项和资金计划申报和调整、组织招标和施工建设、竣工验收和审计等工作。</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sz w:val="32"/>
          <w:szCs w:val="32"/>
          <w:lang w:val="zh-CN"/>
        </w:rPr>
        <w:t>（二）项目管理情况。</w:t>
      </w:r>
      <w:r>
        <w:rPr>
          <w:rFonts w:hint="default" w:ascii="Times New Roman" w:hAnsi="Times New Roman" w:eastAsia="仿宋_GB2312" w:cs="Times New Roman"/>
          <w:b w:val="0"/>
          <w:bCs w:val="0"/>
          <w:kern w:val="0"/>
          <w:sz w:val="32"/>
          <w:szCs w:val="32"/>
          <w:shd w:val="clear" w:color="auto" w:fill="FFFFFF"/>
          <w:lang w:val="zh-CN"/>
        </w:rPr>
        <w:t>该项目严格按照项目管理如招投标、政府采购、项目公示制等相关规定。</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sz w:val="32"/>
          <w:szCs w:val="32"/>
          <w:lang w:val="zh-CN"/>
        </w:rPr>
        <w:t>（三）项目监管情况。</w:t>
      </w:r>
      <w:r>
        <w:rPr>
          <w:rFonts w:hint="default" w:ascii="Times New Roman" w:hAnsi="Times New Roman" w:eastAsia="仿宋_GB2312" w:cs="Times New Roman"/>
          <w:b w:val="0"/>
          <w:bCs w:val="0"/>
          <w:kern w:val="0"/>
          <w:sz w:val="32"/>
          <w:szCs w:val="32"/>
          <w:shd w:val="clear" w:color="auto" w:fill="FFFFFF"/>
          <w:lang w:val="zh-CN"/>
        </w:rPr>
        <w:t>一是设置监审组严格对项目建设内容、勘察设计、招标方案、项目验收及资金支付等进行监督。二是聘请监理对项目建设质量进行监督。</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方正黑体_GBK" w:cs="Times New Roman"/>
          <w:b w:val="0"/>
          <w:bCs w:val="0"/>
          <w:sz w:val="32"/>
          <w:szCs w:val="32"/>
          <w:lang w:val="zh-CN"/>
        </w:rPr>
      </w:pPr>
      <w:r>
        <w:rPr>
          <w:rFonts w:hint="default" w:ascii="Times New Roman" w:hAnsi="Times New Roman" w:eastAsia="方正黑体_GBK" w:cs="Times New Roman"/>
          <w:b w:val="0"/>
          <w:bCs w:val="0"/>
          <w:sz w:val="32"/>
          <w:szCs w:val="32"/>
        </w:rPr>
        <w:t>四、项目绩效情况</w:t>
      </w:r>
      <w:r>
        <w:rPr>
          <w:rFonts w:hint="default" w:ascii="Times New Roman" w:hAnsi="Times New Roman" w:eastAsia="方正黑体_GBK" w:cs="Times New Roman"/>
          <w:b w:val="0"/>
          <w:bCs w:val="0"/>
          <w:sz w:val="32"/>
          <w:szCs w:val="32"/>
          <w:lang w:val="zh-CN"/>
        </w:rPr>
        <w:tab/>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（一）项目完成情况</w:t>
      </w:r>
    </w:p>
    <w:p>
      <w:pPr>
        <w:pageBreakBefore w:val="0"/>
        <w:kinsoku/>
        <w:wordWrap/>
        <w:overflowPunct/>
        <w:topLinePunct w:val="0"/>
        <w:autoSpaceDE/>
        <w:autoSpaceDN/>
        <w:bidi w:val="0"/>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目前已完成泸县国有林场龙贯山管护站建设和泸县森林防灭火视频监控设备维修；正在开展泸县森林防灭火消防水池维修加固建设和玉蟾山金鳌峰瞭望台恢复重建、泸县玉蟾山森林防灭火道路维修加固和硬化，建设进度达到40%；预计6月底前总体建设进度达到60%，省预算内资金拨付达到100%；10月完成所有建设任务，完成资金拨付。</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（二）项目效益情况</w:t>
      </w:r>
    </w:p>
    <w:tbl>
      <w:tblPr>
        <w:tblStyle w:val="18"/>
        <w:tblW w:w="8258" w:type="dxa"/>
        <w:jc w:val="center"/>
        <w:tblLayout w:type="autofit"/>
        <w:tblCellMar>
          <w:top w:w="0" w:type="dxa"/>
          <w:left w:w="108" w:type="dxa"/>
          <w:bottom w:w="0" w:type="dxa"/>
          <w:right w:w="108" w:type="dxa"/>
        </w:tblCellMar>
      </w:tblPr>
      <w:tblGrid>
        <w:gridCol w:w="2916"/>
        <w:gridCol w:w="3262"/>
        <w:gridCol w:w="2080"/>
      </w:tblGrid>
      <w:tr>
        <w:tblPrEx>
          <w:tblCellMar>
            <w:top w:w="0" w:type="dxa"/>
            <w:left w:w="108" w:type="dxa"/>
            <w:bottom w:w="0" w:type="dxa"/>
            <w:right w:w="108" w:type="dxa"/>
          </w:tblCellMar>
        </w:tblPrEx>
        <w:trPr>
          <w:trHeight w:val="703" w:hRule="atLeast"/>
          <w:jc w:val="center"/>
        </w:trPr>
        <w:tc>
          <w:tcPr>
            <w:tcW w:w="2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二级指标</w:t>
            </w:r>
          </w:p>
        </w:tc>
        <w:tc>
          <w:tcPr>
            <w:tcW w:w="32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三级指标</w:t>
            </w:r>
          </w:p>
        </w:tc>
        <w:tc>
          <w:tcPr>
            <w:tcW w:w="2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指标值</w:t>
            </w:r>
          </w:p>
        </w:tc>
      </w:tr>
      <w:tr>
        <w:tblPrEx>
          <w:tblCellMar>
            <w:top w:w="0" w:type="dxa"/>
            <w:left w:w="108" w:type="dxa"/>
            <w:bottom w:w="0" w:type="dxa"/>
            <w:right w:w="108" w:type="dxa"/>
          </w:tblCellMar>
        </w:tblPrEx>
        <w:trPr>
          <w:trHeight w:val="703" w:hRule="atLeast"/>
          <w:jc w:val="center"/>
        </w:trPr>
        <w:tc>
          <w:tcPr>
            <w:tcW w:w="2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数量指标</w:t>
            </w:r>
          </w:p>
        </w:tc>
        <w:tc>
          <w:tcPr>
            <w:tcW w:w="3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支持项目数量</w:t>
            </w:r>
          </w:p>
        </w:tc>
        <w:tc>
          <w:tcPr>
            <w:tcW w:w="2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1个</w:t>
            </w:r>
          </w:p>
        </w:tc>
      </w:tr>
      <w:tr>
        <w:tblPrEx>
          <w:tblCellMar>
            <w:top w:w="0" w:type="dxa"/>
            <w:left w:w="108" w:type="dxa"/>
            <w:bottom w:w="0" w:type="dxa"/>
            <w:right w:w="108" w:type="dxa"/>
          </w:tblCellMar>
        </w:tblPrEx>
        <w:trPr>
          <w:trHeight w:val="703" w:hRule="atLeast"/>
          <w:jc w:val="center"/>
        </w:trPr>
        <w:tc>
          <w:tcPr>
            <w:tcW w:w="2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质量指标</w:t>
            </w:r>
          </w:p>
        </w:tc>
        <w:tc>
          <w:tcPr>
            <w:tcW w:w="3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项目开工率</w:t>
            </w:r>
          </w:p>
        </w:tc>
        <w:tc>
          <w:tcPr>
            <w:tcW w:w="2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90%</w:t>
            </w:r>
          </w:p>
        </w:tc>
      </w:tr>
      <w:tr>
        <w:tblPrEx>
          <w:tblCellMar>
            <w:top w:w="0" w:type="dxa"/>
            <w:left w:w="108" w:type="dxa"/>
            <w:bottom w:w="0" w:type="dxa"/>
            <w:right w:w="108" w:type="dxa"/>
          </w:tblCellMar>
        </w:tblPrEx>
        <w:trPr>
          <w:trHeight w:val="703" w:hRule="atLeast"/>
          <w:jc w:val="center"/>
        </w:trPr>
        <w:tc>
          <w:tcPr>
            <w:tcW w:w="2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时效指标</w:t>
            </w:r>
          </w:p>
        </w:tc>
        <w:tc>
          <w:tcPr>
            <w:tcW w:w="3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项目建设按期完期完成验收率</w:t>
            </w:r>
          </w:p>
        </w:tc>
        <w:tc>
          <w:tcPr>
            <w:tcW w:w="2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80%</w:t>
            </w:r>
          </w:p>
        </w:tc>
      </w:tr>
      <w:tr>
        <w:tblPrEx>
          <w:tblCellMar>
            <w:top w:w="0" w:type="dxa"/>
            <w:left w:w="108" w:type="dxa"/>
            <w:bottom w:w="0" w:type="dxa"/>
            <w:right w:w="108" w:type="dxa"/>
          </w:tblCellMar>
        </w:tblPrEx>
        <w:trPr>
          <w:trHeight w:val="703" w:hRule="atLeast"/>
          <w:jc w:val="center"/>
        </w:trPr>
        <w:tc>
          <w:tcPr>
            <w:tcW w:w="2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成本指标</w:t>
            </w:r>
          </w:p>
        </w:tc>
        <w:tc>
          <w:tcPr>
            <w:tcW w:w="3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省预算内资金支付</w:t>
            </w:r>
          </w:p>
        </w:tc>
        <w:tc>
          <w:tcPr>
            <w:tcW w:w="2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65%</w:t>
            </w:r>
          </w:p>
        </w:tc>
      </w:tr>
      <w:tr>
        <w:tblPrEx>
          <w:tblCellMar>
            <w:top w:w="0" w:type="dxa"/>
            <w:left w:w="108" w:type="dxa"/>
            <w:bottom w:w="0" w:type="dxa"/>
            <w:right w:w="108" w:type="dxa"/>
          </w:tblCellMar>
        </w:tblPrEx>
        <w:trPr>
          <w:trHeight w:val="703" w:hRule="atLeast"/>
          <w:jc w:val="center"/>
        </w:trPr>
        <w:tc>
          <w:tcPr>
            <w:tcW w:w="2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经济效益指标</w:t>
            </w:r>
          </w:p>
        </w:tc>
        <w:tc>
          <w:tcPr>
            <w:tcW w:w="3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带动就业人数</w:t>
            </w:r>
          </w:p>
        </w:tc>
        <w:tc>
          <w:tcPr>
            <w:tcW w:w="2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200人</w:t>
            </w:r>
          </w:p>
        </w:tc>
      </w:tr>
      <w:tr>
        <w:tblPrEx>
          <w:tblCellMar>
            <w:top w:w="0" w:type="dxa"/>
            <w:left w:w="108" w:type="dxa"/>
            <w:bottom w:w="0" w:type="dxa"/>
            <w:right w:w="108" w:type="dxa"/>
          </w:tblCellMar>
        </w:tblPrEx>
        <w:trPr>
          <w:trHeight w:val="703" w:hRule="atLeast"/>
          <w:jc w:val="center"/>
        </w:trPr>
        <w:tc>
          <w:tcPr>
            <w:tcW w:w="2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社会效益指标</w:t>
            </w:r>
          </w:p>
        </w:tc>
        <w:tc>
          <w:tcPr>
            <w:tcW w:w="3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基本公共服务</w:t>
            </w:r>
          </w:p>
        </w:tc>
        <w:tc>
          <w:tcPr>
            <w:tcW w:w="2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sz w:val="28"/>
                <w:szCs w:val="28"/>
              </w:rPr>
              <w:t>恢复</w:t>
            </w:r>
          </w:p>
        </w:tc>
      </w:tr>
      <w:tr>
        <w:tblPrEx>
          <w:tblCellMar>
            <w:top w:w="0" w:type="dxa"/>
            <w:left w:w="108" w:type="dxa"/>
            <w:bottom w:w="0" w:type="dxa"/>
            <w:right w:w="108" w:type="dxa"/>
          </w:tblCellMar>
        </w:tblPrEx>
        <w:trPr>
          <w:trHeight w:val="703" w:hRule="atLeast"/>
          <w:jc w:val="center"/>
        </w:trPr>
        <w:tc>
          <w:tcPr>
            <w:tcW w:w="2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生态效益指标</w:t>
            </w:r>
          </w:p>
        </w:tc>
        <w:tc>
          <w:tcPr>
            <w:tcW w:w="3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生态环境质量改善效果</w:t>
            </w:r>
          </w:p>
        </w:tc>
        <w:tc>
          <w:tcPr>
            <w:tcW w:w="2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sz w:val="28"/>
                <w:szCs w:val="28"/>
              </w:rPr>
              <w:t>明显</w:t>
            </w:r>
          </w:p>
        </w:tc>
      </w:tr>
      <w:tr>
        <w:tblPrEx>
          <w:tblCellMar>
            <w:top w:w="0" w:type="dxa"/>
            <w:left w:w="108" w:type="dxa"/>
            <w:bottom w:w="0" w:type="dxa"/>
            <w:right w:w="108" w:type="dxa"/>
          </w:tblCellMar>
        </w:tblPrEx>
        <w:trPr>
          <w:trHeight w:val="743" w:hRule="atLeast"/>
          <w:jc w:val="center"/>
        </w:trPr>
        <w:tc>
          <w:tcPr>
            <w:tcW w:w="2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可持续影响指标</w:t>
            </w:r>
          </w:p>
        </w:tc>
        <w:tc>
          <w:tcPr>
            <w:tcW w:w="3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项目持续发挥作用</w:t>
            </w:r>
          </w:p>
        </w:tc>
        <w:tc>
          <w:tcPr>
            <w:tcW w:w="2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sz w:val="28"/>
                <w:szCs w:val="28"/>
              </w:rPr>
              <w:t>持续</w:t>
            </w:r>
          </w:p>
        </w:tc>
      </w:tr>
      <w:tr>
        <w:tblPrEx>
          <w:tblCellMar>
            <w:top w:w="0" w:type="dxa"/>
            <w:left w:w="108" w:type="dxa"/>
            <w:bottom w:w="0" w:type="dxa"/>
            <w:right w:w="108" w:type="dxa"/>
          </w:tblCellMar>
        </w:tblPrEx>
        <w:trPr>
          <w:trHeight w:val="713" w:hRule="atLeast"/>
          <w:jc w:val="center"/>
        </w:trPr>
        <w:tc>
          <w:tcPr>
            <w:tcW w:w="2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满意度指标</w:t>
            </w:r>
          </w:p>
        </w:tc>
        <w:tc>
          <w:tcPr>
            <w:tcW w:w="3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受益群众满意度</w:t>
            </w:r>
          </w:p>
        </w:tc>
        <w:tc>
          <w:tcPr>
            <w:tcW w:w="2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eastAsia="仿宋_GB2312" w:cs="Times New Roman"/>
                <w:b w:val="0"/>
                <w:bCs w:val="0"/>
                <w:sz w:val="28"/>
                <w:szCs w:val="28"/>
              </w:rPr>
            </w:pPr>
            <w:r>
              <w:rPr>
                <w:rFonts w:hint="default" w:ascii="Times New Roman" w:hAnsi="Times New Roman" w:eastAsia="仿宋_GB2312" w:cs="Times New Roman"/>
                <w:b w:val="0"/>
                <w:bCs w:val="0"/>
                <w:kern w:val="0"/>
                <w:sz w:val="28"/>
                <w:szCs w:val="28"/>
              </w:rPr>
              <w:t>满意</w:t>
            </w:r>
          </w:p>
        </w:tc>
      </w:tr>
    </w:tbl>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五、评价结论及建议</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（一）评价结论</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该项目严格按照管理办法等要求按验收合格的工程进度</w:t>
      </w:r>
      <w:r>
        <w:rPr>
          <w:rFonts w:hint="eastAsia" w:eastAsia="仿宋_GB2312" w:cs="Times New Roman"/>
          <w:b w:val="0"/>
          <w:bCs w:val="0"/>
          <w:kern w:val="0"/>
          <w:sz w:val="32"/>
          <w:szCs w:val="32"/>
          <w:shd w:val="clear" w:color="auto" w:fill="FFFFFF"/>
          <w:lang w:val="zh-CN"/>
        </w:rPr>
        <w:t>进行</w:t>
      </w:r>
      <w:r>
        <w:rPr>
          <w:rFonts w:hint="default" w:ascii="Times New Roman" w:hAnsi="Times New Roman" w:eastAsia="仿宋_GB2312" w:cs="Times New Roman"/>
          <w:b w:val="0"/>
          <w:bCs w:val="0"/>
          <w:kern w:val="0"/>
          <w:sz w:val="32"/>
          <w:szCs w:val="32"/>
          <w:shd w:val="clear" w:color="auto" w:fill="FFFFFF"/>
          <w:lang w:val="zh-CN"/>
        </w:rPr>
        <w:t>资金支付。</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（二）存在的问题</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rPr>
      </w:pPr>
      <w:r>
        <w:rPr>
          <w:rFonts w:hint="default" w:ascii="Times New Roman" w:hAnsi="Times New Roman" w:eastAsia="仿宋_GB2312" w:cs="Times New Roman"/>
          <w:b w:val="0"/>
          <w:bCs w:val="0"/>
          <w:kern w:val="0"/>
          <w:sz w:val="32"/>
          <w:szCs w:val="32"/>
          <w:shd w:val="clear" w:color="auto" w:fill="FFFFFF"/>
          <w:lang w:val="zh-CN"/>
        </w:rPr>
        <w:t>工程建设前期准备时间长</w:t>
      </w:r>
      <w:r>
        <w:rPr>
          <w:rFonts w:hint="default" w:ascii="Times New Roman" w:hAnsi="Times New Roman" w:eastAsia="仿宋_GB2312" w:cs="Times New Roman"/>
          <w:b w:val="0"/>
          <w:bCs w:val="0"/>
          <w:kern w:val="0"/>
          <w:sz w:val="32"/>
          <w:szCs w:val="32"/>
          <w:shd w:val="clear" w:color="auto" w:fill="FFFFFF"/>
        </w:rPr>
        <w:t>。</w:t>
      </w:r>
    </w:p>
    <w:p>
      <w:pPr>
        <w:pageBreakBefore w:val="0"/>
        <w:kinsoku/>
        <w:wordWrap/>
        <w:overflowPunct/>
        <w:topLinePunct w:val="0"/>
        <w:autoSpaceDE/>
        <w:autoSpaceDN/>
        <w:bidi w:val="0"/>
        <w:adjustRightInd w:val="0"/>
        <w:snapToGrid w:val="0"/>
        <w:spacing w:line="578" w:lineRule="exact"/>
        <w:ind w:firstLine="720"/>
        <w:rPr>
          <w:rFonts w:hint="default" w:ascii="Times New Roman" w:hAnsi="Times New Roman" w:eastAsia="楷体_GB2312" w:cs="Times New Roman"/>
          <w:b w:val="0"/>
          <w:bCs w:val="0"/>
          <w:sz w:val="32"/>
          <w:szCs w:val="32"/>
          <w:lang w:val="zh-CN"/>
        </w:rPr>
      </w:pPr>
      <w:r>
        <w:rPr>
          <w:rFonts w:hint="default" w:ascii="Times New Roman" w:hAnsi="Times New Roman" w:eastAsia="楷体_GB2312" w:cs="Times New Roman"/>
          <w:b w:val="0"/>
          <w:bCs w:val="0"/>
          <w:sz w:val="32"/>
          <w:szCs w:val="32"/>
          <w:lang w:val="zh-CN"/>
        </w:rPr>
        <w:t>（三）相关建议</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无。</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仿宋_GB2312" w:cs="Times New Roman"/>
          <w:b w:val="0"/>
          <w:bCs w:val="0"/>
          <w:kern w:val="0"/>
          <w:sz w:val="32"/>
          <w:szCs w:val="32"/>
          <w:shd w:val="clear" w:color="auto" w:fill="FFFFFF"/>
          <w:lang w:val="zh-CN"/>
        </w:rPr>
      </w:pPr>
      <w:r>
        <w:rPr>
          <w:rFonts w:hint="default" w:ascii="Times New Roman" w:hAnsi="Times New Roman" w:eastAsia="仿宋_GB2312" w:cs="Times New Roman"/>
          <w:b w:val="0"/>
          <w:bCs w:val="0"/>
          <w:kern w:val="0"/>
          <w:sz w:val="32"/>
          <w:szCs w:val="32"/>
          <w:shd w:val="clear" w:color="auto" w:fill="FFFFFF"/>
          <w:lang w:val="zh-CN"/>
        </w:rPr>
        <w:t>附表：</w:t>
      </w:r>
    </w:p>
    <w:p>
      <w:pPr>
        <w:pageBreakBefore w:val="0"/>
        <w:widowControl/>
        <w:kinsoku/>
        <w:wordWrap/>
        <w:overflowPunct/>
        <w:topLinePunct w:val="0"/>
        <w:autoSpaceDE/>
        <w:autoSpaceDN/>
        <w:bidi w:val="0"/>
        <w:adjustRightInd w:val="0"/>
        <w:snapToGrid w:val="0"/>
        <w:spacing w:line="578" w:lineRule="exact"/>
        <w:ind w:firstLine="640" w:firstLineChars="200"/>
        <w:contextualSpacing/>
        <w:jc w:val="left"/>
        <w:rPr>
          <w:rFonts w:hint="default" w:ascii="Times New Roman" w:hAnsi="Times New Roman" w:eastAsia="方正黑体_GBK" w:cs="Times New Roman"/>
          <w:b w:val="0"/>
          <w:bCs w:val="0"/>
          <w:sz w:val="32"/>
          <w:szCs w:val="32"/>
        </w:rPr>
      </w:pPr>
      <w:r>
        <w:rPr>
          <w:rFonts w:hint="default" w:ascii="Times New Roman" w:hAnsi="Times New Roman" w:eastAsia="方正黑体_GBK" w:cs="Times New Roman"/>
          <w:b w:val="0"/>
          <w:bCs w:val="0"/>
          <w:sz w:val="32"/>
          <w:szCs w:val="32"/>
        </w:rPr>
        <w:t>省级主管部门项目资金分配涉及所有点位自评得分情况表</w:t>
      </w:r>
    </w:p>
    <w:tbl>
      <w:tblPr>
        <w:tblStyle w:val="19"/>
        <w:tblW w:w="89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3895"/>
        <w:gridCol w:w="2899"/>
        <w:gridCol w:w="10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9" w:type="dxa"/>
            <w:vAlign w:val="center"/>
          </w:tcPr>
          <w:p>
            <w:pPr>
              <w:pageBreakBefore w:val="0"/>
              <w:kinsoku/>
              <w:wordWrap/>
              <w:overflowPunct/>
              <w:topLinePunct w:val="0"/>
              <w:autoSpaceDE/>
              <w:autoSpaceDN/>
              <w:bidi w:val="0"/>
              <w:spacing w:line="578" w:lineRule="exact"/>
              <w:jc w:val="center"/>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序号</w:t>
            </w:r>
          </w:p>
        </w:tc>
        <w:tc>
          <w:tcPr>
            <w:tcW w:w="3895" w:type="dxa"/>
            <w:vAlign w:val="center"/>
          </w:tcPr>
          <w:p>
            <w:pPr>
              <w:pageBreakBefore w:val="0"/>
              <w:kinsoku/>
              <w:wordWrap/>
              <w:overflowPunct/>
              <w:topLinePunct w:val="0"/>
              <w:autoSpaceDE/>
              <w:autoSpaceDN/>
              <w:bidi w:val="0"/>
              <w:spacing w:line="578" w:lineRule="exact"/>
              <w:jc w:val="center"/>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项目资金末端分配点位</w:t>
            </w:r>
          </w:p>
        </w:tc>
        <w:tc>
          <w:tcPr>
            <w:tcW w:w="2899" w:type="dxa"/>
            <w:vAlign w:val="center"/>
          </w:tcPr>
          <w:p>
            <w:pPr>
              <w:pageBreakBefore w:val="0"/>
              <w:kinsoku/>
              <w:wordWrap/>
              <w:overflowPunct/>
              <w:topLinePunct w:val="0"/>
              <w:autoSpaceDE/>
              <w:autoSpaceDN/>
              <w:bidi w:val="0"/>
              <w:spacing w:line="578" w:lineRule="exact"/>
              <w:jc w:val="center"/>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自评得分（百分制）</w:t>
            </w:r>
          </w:p>
        </w:tc>
        <w:tc>
          <w:tcPr>
            <w:tcW w:w="1007" w:type="dxa"/>
            <w:vAlign w:val="center"/>
          </w:tcPr>
          <w:p>
            <w:pPr>
              <w:pageBreakBefore w:val="0"/>
              <w:kinsoku/>
              <w:wordWrap/>
              <w:overflowPunct/>
              <w:topLinePunct w:val="0"/>
              <w:autoSpaceDE/>
              <w:autoSpaceDN/>
              <w:bidi w:val="0"/>
              <w:spacing w:line="578" w:lineRule="exact"/>
              <w:jc w:val="center"/>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9" w:type="dxa"/>
            <w:vAlign w:val="center"/>
          </w:tcPr>
          <w:p>
            <w:pPr>
              <w:pageBreakBefore w:val="0"/>
              <w:kinsoku/>
              <w:wordWrap/>
              <w:overflowPunct/>
              <w:topLinePunct w:val="0"/>
              <w:autoSpaceDE/>
              <w:autoSpaceDN/>
              <w:bidi w:val="0"/>
              <w:spacing w:line="578" w:lineRule="exact"/>
              <w:jc w:val="center"/>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1</w:t>
            </w:r>
          </w:p>
        </w:tc>
        <w:tc>
          <w:tcPr>
            <w:tcW w:w="3895" w:type="dxa"/>
            <w:vAlign w:val="center"/>
          </w:tcPr>
          <w:p>
            <w:pPr>
              <w:pageBreakBefore w:val="0"/>
              <w:kinsoku/>
              <w:wordWrap/>
              <w:overflowPunct/>
              <w:topLinePunct w:val="0"/>
              <w:autoSpaceDE/>
              <w:autoSpaceDN/>
              <w:bidi w:val="0"/>
              <w:spacing w:line="578" w:lineRule="exact"/>
              <w:jc w:val="center"/>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泸县森林防灾减灾项目</w:t>
            </w:r>
          </w:p>
        </w:tc>
        <w:tc>
          <w:tcPr>
            <w:tcW w:w="2899" w:type="dxa"/>
            <w:vAlign w:val="center"/>
          </w:tcPr>
          <w:p>
            <w:pPr>
              <w:pageBreakBefore w:val="0"/>
              <w:kinsoku/>
              <w:wordWrap/>
              <w:overflowPunct/>
              <w:topLinePunct w:val="0"/>
              <w:autoSpaceDE/>
              <w:autoSpaceDN/>
              <w:bidi w:val="0"/>
              <w:spacing w:line="578" w:lineRule="exact"/>
              <w:jc w:val="center"/>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97</w:t>
            </w:r>
          </w:p>
        </w:tc>
        <w:tc>
          <w:tcPr>
            <w:tcW w:w="1007" w:type="dxa"/>
            <w:vAlign w:val="center"/>
          </w:tcPr>
          <w:p>
            <w:pPr>
              <w:pageBreakBefore w:val="0"/>
              <w:kinsoku/>
              <w:wordWrap/>
              <w:overflowPunct/>
              <w:topLinePunct w:val="0"/>
              <w:autoSpaceDE/>
              <w:autoSpaceDN/>
              <w:bidi w:val="0"/>
              <w:spacing w:line="578" w:lineRule="exact"/>
              <w:jc w:val="center"/>
              <w:rPr>
                <w:rFonts w:hint="default" w:ascii="Times New Roman" w:hAnsi="Times New Roman" w:eastAsia="仿宋_GB2312" w:cs="Times New Roman"/>
                <w:b w:val="0"/>
                <w:bCs w:val="0"/>
                <w:sz w:val="32"/>
                <w:szCs w:val="32"/>
              </w:rPr>
            </w:pPr>
          </w:p>
        </w:tc>
      </w:tr>
    </w:tbl>
    <w:p>
      <w:pPr>
        <w:pStyle w:val="2"/>
        <w:pageBreakBefore w:val="0"/>
        <w:kinsoku/>
        <w:wordWrap/>
        <w:overflowPunct/>
        <w:topLinePunct w:val="0"/>
        <w:autoSpaceDE/>
        <w:autoSpaceDN/>
        <w:bidi w:val="0"/>
        <w:spacing w:line="578" w:lineRule="exact"/>
        <w:rPr>
          <w:rFonts w:hint="default" w:ascii="Times New Roman" w:hAnsi="Times New Roman" w:eastAsia="仿宋_GB2312" w:cs="Times New Roman"/>
          <w:b w:val="0"/>
          <w:bCs w:val="0"/>
          <w:sz w:val="32"/>
          <w:szCs w:val="32"/>
        </w:rPr>
      </w:pPr>
    </w:p>
    <w:p>
      <w:pPr>
        <w:pStyle w:val="2"/>
        <w:rPr>
          <w:rFonts w:hint="default" w:ascii="Times New Roman" w:hAnsi="Times New Roman" w:cs="Times New Roman"/>
          <w:b w:val="0"/>
          <w:bCs w:val="0"/>
        </w:rPr>
        <w:sectPr>
          <w:pgSz w:w="11906" w:h="16838"/>
          <w:pgMar w:top="2098" w:right="1474" w:bottom="1984" w:left="1587" w:header="851" w:footer="992" w:gutter="0"/>
          <w:pgNumType w:start="1"/>
          <w:cols w:space="425" w:num="1"/>
          <w:titlePg/>
          <w:docGrid w:type="lines" w:linePitch="312" w:charSpace="0"/>
        </w:sectPr>
      </w:pPr>
    </w:p>
    <w:p>
      <w:pPr>
        <w:pStyle w:val="4"/>
        <w:rPr>
          <w:rFonts w:hint="default" w:ascii="Times New Roman" w:hAnsi="Times New Roman" w:cs="Times New Roman"/>
          <w:b w:val="0"/>
          <w:bCs w:val="0"/>
        </w:rPr>
      </w:pPr>
      <w:bookmarkStart w:id="109" w:name="_Toc149227158"/>
      <w:r>
        <w:rPr>
          <w:rFonts w:hint="default" w:ascii="Times New Roman" w:hAnsi="Times New Roman" w:cs="Times New Roman"/>
          <w:b w:val="0"/>
          <w:bCs w:val="0"/>
        </w:rPr>
        <w:t>部门预算项目支出绩效自评表（2022年度）</w:t>
      </w:r>
      <w:bookmarkEnd w:id="109"/>
    </w:p>
    <w:tbl>
      <w:tblPr>
        <w:tblStyle w:val="18"/>
        <w:tblW w:w="5000" w:type="pct"/>
        <w:tblInd w:w="0" w:type="dxa"/>
        <w:tblLayout w:type="fixed"/>
        <w:tblCellMar>
          <w:top w:w="0" w:type="dxa"/>
          <w:left w:w="108" w:type="dxa"/>
          <w:bottom w:w="0" w:type="dxa"/>
          <w:right w:w="108" w:type="dxa"/>
        </w:tblCellMar>
      </w:tblPr>
      <w:tblGrid>
        <w:gridCol w:w="1017"/>
        <w:gridCol w:w="551"/>
        <w:gridCol w:w="1538"/>
        <w:gridCol w:w="105"/>
        <w:gridCol w:w="506"/>
        <w:gridCol w:w="650"/>
        <w:gridCol w:w="573"/>
        <w:gridCol w:w="452"/>
        <w:gridCol w:w="121"/>
        <w:gridCol w:w="277"/>
        <w:gridCol w:w="315"/>
        <w:gridCol w:w="388"/>
        <w:gridCol w:w="156"/>
        <w:gridCol w:w="844"/>
        <w:gridCol w:w="446"/>
        <w:gridCol w:w="236"/>
        <w:gridCol w:w="232"/>
        <w:gridCol w:w="385"/>
        <w:gridCol w:w="223"/>
        <w:gridCol w:w="57"/>
        <w:gridCol w:w="296"/>
        <w:gridCol w:w="287"/>
        <w:gridCol w:w="433"/>
        <w:gridCol w:w="67"/>
        <w:gridCol w:w="599"/>
        <w:gridCol w:w="213"/>
        <w:gridCol w:w="869"/>
        <w:gridCol w:w="51"/>
        <w:gridCol w:w="127"/>
        <w:gridCol w:w="13"/>
        <w:gridCol w:w="1022"/>
        <w:gridCol w:w="385"/>
        <w:gridCol w:w="258"/>
        <w:gridCol w:w="283"/>
        <w:gridCol w:w="538"/>
        <w:gridCol w:w="560"/>
        <w:gridCol w:w="847"/>
      </w:tblGrid>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404" w:hRule="atLeast"/>
        </w:trPr>
        <w:tc>
          <w:tcPr>
            <w:tcW w:w="100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项目名称</w:t>
            </w:r>
          </w:p>
        </w:tc>
        <w:tc>
          <w:tcPr>
            <w:tcW w:w="3991" w:type="pct"/>
            <w:gridSpan w:val="33"/>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不动产灾后重建</w:t>
            </w:r>
          </w:p>
        </w:tc>
      </w:tr>
      <w:tr>
        <w:tblPrEx>
          <w:tblCellMar>
            <w:top w:w="0" w:type="dxa"/>
            <w:left w:w="108" w:type="dxa"/>
            <w:bottom w:w="0" w:type="dxa"/>
            <w:right w:w="108" w:type="dxa"/>
          </w:tblCellMar>
        </w:tblPrEx>
        <w:trPr>
          <w:trHeight w:val="420" w:hRule="atLeast"/>
        </w:trPr>
        <w:tc>
          <w:tcPr>
            <w:tcW w:w="100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主管部门</w:t>
            </w:r>
          </w:p>
        </w:tc>
        <w:tc>
          <w:tcPr>
            <w:tcW w:w="2709" w:type="pct"/>
            <w:gridSpan w:val="23"/>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泸县自然资源和规划局</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 xml:space="preserve">实施单位 </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319"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项目基本情况</w:t>
            </w:r>
          </w:p>
        </w:tc>
        <w:tc>
          <w:tcPr>
            <w:tcW w:w="689"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1.项目年度目标完成情况</w:t>
            </w:r>
          </w:p>
        </w:tc>
        <w:tc>
          <w:tcPr>
            <w:tcW w:w="2709" w:type="pct"/>
            <w:gridSpan w:val="23"/>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2709" w:type="pct"/>
            <w:gridSpan w:val="23"/>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安排下达不动产灾后重建资金9.69万元。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按照相关规定及时足额完成支付</w:t>
            </w:r>
          </w:p>
        </w:tc>
      </w:tr>
      <w:tr>
        <w:tblPrEx>
          <w:tblCellMar>
            <w:top w:w="0" w:type="dxa"/>
            <w:left w:w="108" w:type="dxa"/>
            <w:bottom w:w="0" w:type="dxa"/>
            <w:right w:w="108" w:type="dxa"/>
          </w:tblCellMar>
        </w:tblPrEx>
        <w:trPr>
          <w:trHeight w:val="420"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2.项目实施内容及过程概述</w:t>
            </w:r>
          </w:p>
        </w:tc>
        <w:tc>
          <w:tcPr>
            <w:tcW w:w="3991" w:type="pct"/>
            <w:gridSpan w:val="33"/>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按照相关规定及时完成支付。</w:t>
            </w:r>
          </w:p>
        </w:tc>
      </w:tr>
      <w:tr>
        <w:tblPrEx>
          <w:tblCellMar>
            <w:top w:w="0" w:type="dxa"/>
            <w:left w:w="108" w:type="dxa"/>
            <w:bottom w:w="0" w:type="dxa"/>
            <w:right w:w="108" w:type="dxa"/>
          </w:tblCellMar>
        </w:tblPrEx>
        <w:trPr>
          <w:trHeight w:val="420" w:hRule="atLeast"/>
        </w:trPr>
        <w:tc>
          <w:tcPr>
            <w:tcW w:w="319"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预算执行情况（10分）</w:t>
            </w:r>
          </w:p>
        </w:tc>
        <w:tc>
          <w:tcPr>
            <w:tcW w:w="689"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年度预算数（万元）</w:t>
            </w: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年初预算</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调整后预算数</w:t>
            </w:r>
          </w:p>
        </w:tc>
        <w:tc>
          <w:tcPr>
            <w:tcW w:w="902"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预算执行数</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预算执行率</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权重</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得分</w:t>
            </w:r>
          </w:p>
        </w:tc>
        <w:tc>
          <w:tcPr>
            <w:tcW w:w="264"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原因</w:t>
            </w:r>
          </w:p>
        </w:tc>
      </w:tr>
      <w:tr>
        <w:tblPrEx>
          <w:tblCellMar>
            <w:top w:w="0" w:type="dxa"/>
            <w:left w:w="108" w:type="dxa"/>
            <w:bottom w:w="0" w:type="dxa"/>
            <w:right w:w="108" w:type="dxa"/>
          </w:tblCellMar>
        </w:tblPrEx>
        <w:trPr>
          <w:trHeight w:val="285"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总额</w:t>
            </w: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0.00</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9.69</w:t>
            </w:r>
          </w:p>
        </w:tc>
        <w:tc>
          <w:tcPr>
            <w:tcW w:w="902"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9.69</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100.00%</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w:t>
            </w:r>
          </w:p>
        </w:tc>
        <w:tc>
          <w:tcPr>
            <w:tcW w:w="264"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r>
      <w:tr>
        <w:tblPrEx>
          <w:tblCellMar>
            <w:top w:w="0" w:type="dxa"/>
            <w:left w:w="108" w:type="dxa"/>
            <w:bottom w:w="0" w:type="dxa"/>
            <w:right w:w="108" w:type="dxa"/>
          </w:tblCellMar>
        </w:tblPrEx>
        <w:trPr>
          <w:trHeight w:val="420"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其中：财政资金</w:t>
            </w: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0.00</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9.69</w:t>
            </w:r>
          </w:p>
        </w:tc>
        <w:tc>
          <w:tcPr>
            <w:tcW w:w="902"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9.69</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100.00%</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264"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r>
      <w:tr>
        <w:tblPrEx>
          <w:tblCellMar>
            <w:top w:w="0" w:type="dxa"/>
            <w:left w:w="108" w:type="dxa"/>
            <w:bottom w:w="0" w:type="dxa"/>
            <w:right w:w="108" w:type="dxa"/>
          </w:tblCellMar>
        </w:tblPrEx>
        <w:trPr>
          <w:trHeight w:val="420"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财政专户管理资金</w:t>
            </w: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0.00</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0.00</w:t>
            </w:r>
          </w:p>
        </w:tc>
        <w:tc>
          <w:tcPr>
            <w:tcW w:w="902"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0.00</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0.00%</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264"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r>
      <w:tr>
        <w:tblPrEx>
          <w:tblCellMar>
            <w:top w:w="0" w:type="dxa"/>
            <w:left w:w="108" w:type="dxa"/>
            <w:bottom w:w="0" w:type="dxa"/>
            <w:right w:w="108" w:type="dxa"/>
          </w:tblCellMar>
        </w:tblPrEx>
        <w:trPr>
          <w:trHeight w:val="210"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单位资金</w:t>
            </w: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0.00</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0.00</w:t>
            </w:r>
          </w:p>
        </w:tc>
        <w:tc>
          <w:tcPr>
            <w:tcW w:w="902"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0.00</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0.00%</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264"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r>
      <w:tr>
        <w:tblPrEx>
          <w:tblCellMar>
            <w:top w:w="0" w:type="dxa"/>
            <w:left w:w="108" w:type="dxa"/>
            <w:bottom w:w="0" w:type="dxa"/>
            <w:right w:w="108" w:type="dxa"/>
          </w:tblCellMar>
        </w:tblPrEx>
        <w:trPr>
          <w:trHeight w:val="210"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其他资金</w:t>
            </w: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i/>
                <w:iCs/>
                <w:kern w:val="0"/>
                <w:sz w:val="16"/>
                <w:szCs w:val="16"/>
              </w:rPr>
            </w:pPr>
            <w:r>
              <w:rPr>
                <w:rFonts w:hint="default" w:ascii="Times New Roman" w:hAnsi="Times New Roman" w:cs="Times New Roman" w:eastAsiaTheme="majorEastAsia"/>
                <w:b w:val="0"/>
                <w:bCs w:val="0"/>
                <w:i/>
                <w:iCs/>
                <w:kern w:val="0"/>
                <w:sz w:val="16"/>
                <w:szCs w:val="16"/>
              </w:rPr>
              <w:t>　</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i/>
                <w:iCs/>
                <w:kern w:val="0"/>
                <w:sz w:val="16"/>
                <w:szCs w:val="16"/>
              </w:rPr>
            </w:pPr>
            <w:r>
              <w:rPr>
                <w:rFonts w:hint="default" w:ascii="Times New Roman" w:hAnsi="Times New Roman" w:cs="Times New Roman" w:eastAsiaTheme="majorEastAsia"/>
                <w:b w:val="0"/>
                <w:bCs w:val="0"/>
                <w:i/>
                <w:iCs/>
                <w:kern w:val="0"/>
                <w:sz w:val="16"/>
                <w:szCs w:val="16"/>
              </w:rPr>
              <w:t>　</w:t>
            </w:r>
          </w:p>
        </w:tc>
        <w:tc>
          <w:tcPr>
            <w:tcW w:w="902"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i/>
                <w:iCs/>
                <w:kern w:val="0"/>
                <w:sz w:val="16"/>
                <w:szCs w:val="16"/>
              </w:rPr>
            </w:pPr>
            <w:r>
              <w:rPr>
                <w:rFonts w:hint="default" w:ascii="Times New Roman" w:hAnsi="Times New Roman" w:cs="Times New Roman" w:eastAsiaTheme="majorEastAsia"/>
                <w:b w:val="0"/>
                <w:bCs w:val="0"/>
                <w:i/>
                <w:iCs/>
                <w:kern w:val="0"/>
                <w:sz w:val="16"/>
                <w:szCs w:val="16"/>
              </w:rPr>
              <w:t>　</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i/>
                <w:iCs/>
                <w:kern w:val="0"/>
                <w:sz w:val="16"/>
                <w:szCs w:val="16"/>
              </w:rPr>
            </w:pPr>
            <w:r>
              <w:rPr>
                <w:rFonts w:hint="default" w:ascii="Times New Roman" w:hAnsi="Times New Roman" w:cs="Times New Roman" w:eastAsiaTheme="majorEastAsia"/>
                <w:b w:val="0"/>
                <w:bCs w:val="0"/>
                <w:i/>
                <w:iCs/>
                <w:kern w:val="0"/>
                <w:sz w:val="16"/>
                <w:szCs w:val="16"/>
              </w:rPr>
              <w:t>　</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264"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r>
      <w:tr>
        <w:tblPrEx>
          <w:tblCellMar>
            <w:top w:w="0" w:type="dxa"/>
            <w:left w:w="108" w:type="dxa"/>
            <w:bottom w:w="0" w:type="dxa"/>
            <w:right w:w="108" w:type="dxa"/>
          </w:tblCellMar>
        </w:tblPrEx>
        <w:trPr>
          <w:trHeight w:val="420" w:hRule="atLeast"/>
        </w:trPr>
        <w:tc>
          <w:tcPr>
            <w:tcW w:w="319"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绩效指标（90分）</w:t>
            </w:r>
          </w:p>
        </w:tc>
        <w:tc>
          <w:tcPr>
            <w:tcW w:w="689"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一级指标</w:t>
            </w: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二级指标</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三级指标</w:t>
            </w:r>
          </w:p>
        </w:tc>
        <w:tc>
          <w:tcPr>
            <w:tcW w:w="358"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指标性质</w:t>
            </w:r>
          </w:p>
        </w:tc>
        <w:tc>
          <w:tcPr>
            <w:tcW w:w="25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指标值</w:t>
            </w:r>
          </w:p>
        </w:tc>
        <w:tc>
          <w:tcPr>
            <w:tcW w:w="289"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度量单位</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完成值</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权重</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得分</w:t>
            </w:r>
          </w:p>
        </w:tc>
        <w:tc>
          <w:tcPr>
            <w:tcW w:w="264"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原因分析</w:t>
            </w:r>
          </w:p>
        </w:tc>
      </w:tr>
      <w:tr>
        <w:tblPrEx>
          <w:tblCellMar>
            <w:top w:w="0" w:type="dxa"/>
            <w:left w:w="108" w:type="dxa"/>
            <w:bottom w:w="0" w:type="dxa"/>
            <w:right w:w="108" w:type="dxa"/>
          </w:tblCellMar>
        </w:tblPrEx>
        <w:trPr>
          <w:trHeight w:val="420"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产出指标</w:t>
            </w: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数量指标</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墙面裂缝剔凿处理及修补、外墙面防水补漏、大厅内外墙面瓷砖剔除及瓷砖粘贴勾缝等，合计面积10355㎡</w:t>
            </w:r>
          </w:p>
        </w:tc>
        <w:tc>
          <w:tcPr>
            <w:tcW w:w="358"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25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100</w:t>
            </w:r>
          </w:p>
        </w:tc>
        <w:tc>
          <w:tcPr>
            <w:tcW w:w="289"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100</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20</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20</w:t>
            </w:r>
          </w:p>
        </w:tc>
        <w:tc>
          <w:tcPr>
            <w:tcW w:w="264"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　</w:t>
            </w:r>
          </w:p>
        </w:tc>
      </w:tr>
      <w:tr>
        <w:tblPrEx>
          <w:tblCellMar>
            <w:top w:w="0" w:type="dxa"/>
            <w:left w:w="108" w:type="dxa"/>
            <w:bottom w:w="0" w:type="dxa"/>
            <w:right w:w="108" w:type="dxa"/>
          </w:tblCellMar>
        </w:tblPrEx>
        <w:trPr>
          <w:trHeight w:val="210"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质量指标</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不动产灾后重建合格率</w:t>
            </w:r>
          </w:p>
        </w:tc>
        <w:tc>
          <w:tcPr>
            <w:tcW w:w="358"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25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100</w:t>
            </w:r>
          </w:p>
        </w:tc>
        <w:tc>
          <w:tcPr>
            <w:tcW w:w="289"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100</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w:t>
            </w:r>
          </w:p>
        </w:tc>
        <w:tc>
          <w:tcPr>
            <w:tcW w:w="264"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　</w:t>
            </w:r>
          </w:p>
        </w:tc>
      </w:tr>
      <w:tr>
        <w:tblPrEx>
          <w:tblCellMar>
            <w:top w:w="0" w:type="dxa"/>
            <w:left w:w="108" w:type="dxa"/>
            <w:bottom w:w="0" w:type="dxa"/>
            <w:right w:w="108" w:type="dxa"/>
          </w:tblCellMar>
        </w:tblPrEx>
        <w:trPr>
          <w:trHeight w:val="210"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成本指标</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不动产灾后重建</w:t>
            </w:r>
          </w:p>
        </w:tc>
        <w:tc>
          <w:tcPr>
            <w:tcW w:w="358"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25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9.69</w:t>
            </w:r>
          </w:p>
        </w:tc>
        <w:tc>
          <w:tcPr>
            <w:tcW w:w="289"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万元</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9.69</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w:t>
            </w:r>
          </w:p>
        </w:tc>
        <w:tc>
          <w:tcPr>
            <w:tcW w:w="264"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　</w:t>
            </w:r>
          </w:p>
        </w:tc>
      </w:tr>
      <w:tr>
        <w:tblPrEx>
          <w:tblCellMar>
            <w:top w:w="0" w:type="dxa"/>
            <w:left w:w="108" w:type="dxa"/>
            <w:bottom w:w="0" w:type="dxa"/>
            <w:right w:w="108" w:type="dxa"/>
          </w:tblCellMar>
        </w:tblPrEx>
        <w:trPr>
          <w:trHeight w:val="210"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时效指标</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按时发放率</w:t>
            </w:r>
          </w:p>
        </w:tc>
        <w:tc>
          <w:tcPr>
            <w:tcW w:w="358"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25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100</w:t>
            </w:r>
          </w:p>
        </w:tc>
        <w:tc>
          <w:tcPr>
            <w:tcW w:w="289"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100</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20</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20</w:t>
            </w:r>
          </w:p>
        </w:tc>
        <w:tc>
          <w:tcPr>
            <w:tcW w:w="264"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　</w:t>
            </w:r>
          </w:p>
        </w:tc>
      </w:tr>
      <w:tr>
        <w:tblPrEx>
          <w:tblCellMar>
            <w:top w:w="0" w:type="dxa"/>
            <w:left w:w="108" w:type="dxa"/>
            <w:bottom w:w="0" w:type="dxa"/>
            <w:right w:w="108" w:type="dxa"/>
          </w:tblCellMar>
        </w:tblPrEx>
        <w:trPr>
          <w:trHeight w:val="225"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效益指标</w:t>
            </w: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社会效益指标</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保障不动产灾后重建</w:t>
            </w:r>
          </w:p>
        </w:tc>
        <w:tc>
          <w:tcPr>
            <w:tcW w:w="358"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定性</w:t>
            </w:r>
          </w:p>
        </w:tc>
        <w:tc>
          <w:tcPr>
            <w:tcW w:w="254"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优良中差</w:t>
            </w:r>
          </w:p>
        </w:tc>
        <w:tc>
          <w:tcPr>
            <w:tcW w:w="289"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　</w:t>
            </w:r>
          </w:p>
        </w:tc>
        <w:tc>
          <w:tcPr>
            <w:tcW w:w="36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优</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20</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20</w:t>
            </w:r>
          </w:p>
        </w:tc>
        <w:tc>
          <w:tcPr>
            <w:tcW w:w="264"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　</w:t>
            </w:r>
          </w:p>
        </w:tc>
      </w:tr>
      <w:tr>
        <w:tblPrEx>
          <w:tblCellMar>
            <w:top w:w="0" w:type="dxa"/>
            <w:left w:w="108" w:type="dxa"/>
            <w:bottom w:w="0" w:type="dxa"/>
            <w:right w:w="108" w:type="dxa"/>
          </w:tblCellMar>
        </w:tblPrEx>
        <w:trPr>
          <w:trHeight w:val="435" w:hRule="atLeast"/>
        </w:trPr>
        <w:tc>
          <w:tcPr>
            <w:tcW w:w="31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p>
        </w:tc>
        <w:tc>
          <w:tcPr>
            <w:tcW w:w="689"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满意度指标</w:t>
            </w:r>
          </w:p>
        </w:tc>
        <w:tc>
          <w:tcPr>
            <w:tcW w:w="543"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服务对象满意度指标</w:t>
            </w:r>
          </w:p>
        </w:tc>
        <w:tc>
          <w:tcPr>
            <w:tcW w:w="1280" w:type="pct"/>
            <w:gridSpan w:val="1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职工满意度</w:t>
            </w:r>
          </w:p>
        </w:tc>
        <w:tc>
          <w:tcPr>
            <w:tcW w:w="358"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254"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95</w:t>
            </w:r>
          </w:p>
        </w:tc>
        <w:tc>
          <w:tcPr>
            <w:tcW w:w="289"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w:t>
            </w:r>
          </w:p>
        </w:tc>
        <w:tc>
          <w:tcPr>
            <w:tcW w:w="364" w:type="pct"/>
            <w:gridSpan w:val="3"/>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98%</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w:t>
            </w:r>
          </w:p>
        </w:tc>
        <w:tc>
          <w:tcPr>
            <w:tcW w:w="264"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　</w:t>
            </w:r>
          </w:p>
        </w:tc>
      </w:tr>
      <w:tr>
        <w:tblPrEx>
          <w:tblCellMar>
            <w:top w:w="0" w:type="dxa"/>
            <w:left w:w="108" w:type="dxa"/>
            <w:bottom w:w="0" w:type="dxa"/>
            <w:right w:w="108" w:type="dxa"/>
          </w:tblCellMar>
        </w:tblPrEx>
        <w:trPr>
          <w:trHeight w:val="210" w:hRule="atLeast"/>
        </w:trPr>
        <w:tc>
          <w:tcPr>
            <w:tcW w:w="4098" w:type="pct"/>
            <w:gridSpan w:val="3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合计</w:t>
            </w:r>
          </w:p>
        </w:tc>
        <w:tc>
          <w:tcPr>
            <w:tcW w:w="291"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100</w:t>
            </w:r>
          </w:p>
        </w:tc>
        <w:tc>
          <w:tcPr>
            <w:tcW w:w="345"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100</w:t>
            </w:r>
          </w:p>
        </w:tc>
        <w:tc>
          <w:tcPr>
            <w:tcW w:w="264"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按相关规定及时安排下达2022年不动产灾后重建资金，保障了不动产登记中心工作的正常开展。</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暂无</w:t>
            </w:r>
          </w:p>
        </w:tc>
      </w:tr>
      <w:tr>
        <w:tblPrEx>
          <w:tblCellMar>
            <w:top w:w="0" w:type="dxa"/>
            <w:left w:w="108" w:type="dxa"/>
            <w:bottom w:w="0" w:type="dxa"/>
            <w:right w:w="108" w:type="dxa"/>
          </w:tblCellMar>
        </w:tblPrEx>
        <w:trPr>
          <w:trHeight w:val="388"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项目负责人：周明</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eastAsiaTheme="majorEastAsia"/>
                <w:b w:val="0"/>
                <w:bCs w:val="0"/>
                <w:kern w:val="0"/>
                <w:sz w:val="16"/>
                <w:szCs w:val="16"/>
              </w:rPr>
            </w:pPr>
            <w:r>
              <w:rPr>
                <w:rFonts w:hint="default" w:ascii="Times New Roman" w:hAnsi="Times New Roman" w:cs="Times New Roman" w:eastAsiaTheme="majorEastAsia"/>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widowControl/>
              <w:adjustRightInd w:val="0"/>
              <w:snapToGrid w:val="0"/>
              <w:spacing w:line="240" w:lineRule="atLeast"/>
              <w:jc w:val="left"/>
              <w:rPr>
                <w:rFonts w:hint="default" w:ascii="Times New Roman" w:hAnsi="Times New Roman" w:cs="Times New Roman"/>
                <w:b w:val="0"/>
                <w:bCs w:val="0"/>
                <w:kern w:val="0"/>
                <w:sz w:val="16"/>
                <w:szCs w:val="16"/>
              </w:rPr>
            </w:pPr>
          </w:p>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vAlign w:val="center"/>
          </w:tcPr>
          <w:p>
            <w:pPr>
              <w:pStyle w:val="2"/>
              <w:spacing w:line="240" w:lineRule="atLeast"/>
              <w:rPr>
                <w:rFonts w:hint="default" w:ascii="Times New Roman" w:hAnsi="Times New Roman" w:cs="Times New Roman"/>
                <w:b w:val="0"/>
                <w:bCs w:val="0"/>
              </w:rPr>
            </w:pPr>
          </w:p>
        </w:tc>
        <w:tc>
          <w:tcPr>
            <w:tcW w:w="272"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nil"/>
              <w:bottom w:val="single" w:color="auto" w:sz="4" w:space="0"/>
              <w:right w:val="nil"/>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森林防火工作经费</w:t>
            </w:r>
          </w:p>
        </w:tc>
      </w:tr>
      <w:tr>
        <w:tblPrEx>
          <w:tblCellMar>
            <w:top w:w="0" w:type="dxa"/>
            <w:left w:w="108" w:type="dxa"/>
            <w:bottom w:w="0" w:type="dxa"/>
            <w:right w:w="108" w:type="dxa"/>
          </w:tblCellMar>
        </w:tblPrEx>
        <w:trPr>
          <w:trHeight w:val="42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606" w:type="pct"/>
            <w:gridSpan w:val="24"/>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445"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eastAsia="仿宋" w:cs="Times New Roman"/>
                <w:b w:val="0"/>
                <w:bCs w:val="0"/>
                <w:kern w:val="0"/>
                <w:sz w:val="16"/>
                <w:szCs w:val="16"/>
                <w:lang w:eastAsia="zh-CN"/>
              </w:rPr>
            </w:pPr>
            <w:r>
              <w:rPr>
                <w:rFonts w:hint="default" w:ascii="Times New Roman" w:hAnsi="Times New Roman" w:cs="Times New Roman"/>
                <w:b w:val="0"/>
                <w:bCs w:val="0"/>
                <w:kern w:val="0"/>
                <w:sz w:val="16"/>
                <w:szCs w:val="16"/>
              </w:rPr>
              <w:t xml:space="preserve">实施单位 </w:t>
            </w:r>
          </w:p>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（盖章）</w:t>
            </w:r>
          </w:p>
        </w:tc>
        <w:tc>
          <w:tcPr>
            <w:tcW w:w="780" w:type="pct"/>
            <w:gridSpan w:val="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606" w:type="pct"/>
            <w:gridSpan w:val="24"/>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26" w:type="pct"/>
            <w:gridSpan w:val="8"/>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606" w:type="pct"/>
            <w:gridSpan w:val="2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指导开展森林防火宣传教育，火源管理，防火巡护，防火设施建设、监测预警等工作，确保人民群众生命财产安全。</w:t>
            </w:r>
          </w:p>
        </w:tc>
        <w:tc>
          <w:tcPr>
            <w:tcW w:w="1226" w:type="pct"/>
            <w:gridSpan w:val="8"/>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全力开展各项森林火灾预防工作，实现全年零火情。</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auto" w:sz="4" w:space="0"/>
              <w:left w:val="single" w:color="auto" w:sz="4" w:space="0"/>
              <w:bottom w:val="single" w:color="auto"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印制森林防火宣传资料，制作宣传视频等，提升群众防火意识；指导防火卡点建设，严格用火审批和报备，聘请专职护林员开展防火巡护；加强防火基础设施建设，强化林火视频监测，适时发布预测预报等工作，确保人民群众生命财产安全。</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56.44</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56.44</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56.44</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56.44</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森林火情数量</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次</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印制宣传资料数量</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批</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森林火灾受害率</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0.01</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林火视频监控服务费用</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8.5</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人民群众生命财产安全</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0.95</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auto" w:sz="4" w:space="0"/>
              <w:left w:val="single" w:color="auto" w:sz="4" w:space="0"/>
              <w:bottom w:val="single" w:color="auto"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项目自评得分100分。项目实施后，泸县11个重点林区镇和国有林场5个工区的森林资源得到有效管护巡护，林区全年未发生森林火情，提高了群众防火意识，确保了林区群众生命财产安全和生态安全。</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项目负责人：章胜刚</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nil"/>
              <w:bottom w:val="nil"/>
              <w:right w:val="nil"/>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2021年度新建改造森林消防水池</w:t>
            </w:r>
          </w:p>
        </w:tc>
      </w:tr>
      <w:tr>
        <w:tblPrEx>
          <w:tblCellMar>
            <w:top w:w="0" w:type="dxa"/>
            <w:left w:w="108" w:type="dxa"/>
            <w:bottom w:w="0" w:type="dxa"/>
            <w:right w:w="108" w:type="dxa"/>
          </w:tblCellMar>
        </w:tblPrEx>
        <w:trPr>
          <w:trHeight w:val="42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加强森林防火基础设施建设，提高森林火灾综合防控能力。</w:t>
            </w:r>
          </w:p>
        </w:tc>
        <w:tc>
          <w:tcPr>
            <w:tcW w:w="1282"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森林防火基础设施条件得到有效改善，火灾防控能力得到有效提高。</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通过实施政府采购，在泸县潮河、石桥、喻寺、福集、天兴等5个乡镇新改造8口森林消防水池，确保遇到突发性森林火情时具有充足的应急取水点。</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46.23</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46.23</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46.23</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46.23</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新改造消防水池数量</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口</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工程验收通过率</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预算成本</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46.14</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天</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16</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保障林区消防取水</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可持续影响指标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可持续利用</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0.98</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96</w:t>
            </w:r>
          </w:p>
        </w:tc>
        <w:tc>
          <w:tcPr>
            <w:tcW w:w="44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auto" w:sz="4" w:space="0"/>
              <w:left w:val="single" w:color="auto" w:sz="4" w:space="0"/>
              <w:bottom w:val="single" w:color="auto"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项目自评分得分96分。该项目通过前期勘查和设计到施工等系列措施，解决了区域性消防水源困难，有效提高了森林火灾综合防控能力，保护了人民群众生命财产安全。</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项目负责人：章胜刚</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nil"/>
              <w:bottom w:val="nil"/>
              <w:right w:val="nil"/>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2020年森林防火组合隔离带建设</w:t>
            </w:r>
          </w:p>
        </w:tc>
      </w:tr>
      <w:tr>
        <w:tblPrEx>
          <w:tblCellMar>
            <w:top w:w="0" w:type="dxa"/>
            <w:left w:w="108" w:type="dxa"/>
            <w:bottom w:w="0" w:type="dxa"/>
            <w:right w:w="108" w:type="dxa"/>
          </w:tblCellMar>
        </w:tblPrEx>
        <w:trPr>
          <w:trHeight w:val="42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83" w:type="pct"/>
            <w:gridSpan w:val="6"/>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698"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加强森林防火基础设施建设，提高森林火灾综合防控能力。</w:t>
            </w:r>
          </w:p>
        </w:tc>
        <w:tc>
          <w:tcPr>
            <w:tcW w:w="1282"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森林防火基础设施条件得到有效改善，火灾防控能力得到有效提高。</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在泸县国有林场姚茶林工区、五尖山工区、喻寺镇、方洞镇、石桥镇连片林区中按照不大于500亩一个单元，在现有道路两侧各12.5米和新建隔离带30米内对易燃树种和杂灌进行清理，营造防火阻燃树种。</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1080"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780"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186.54</w:t>
            </w:r>
          </w:p>
        </w:tc>
        <w:tc>
          <w:tcPr>
            <w:tcW w:w="1080"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186.54</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780" w:type="pct"/>
            <w:gridSpan w:val="5"/>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186.54</w:t>
            </w:r>
          </w:p>
        </w:tc>
        <w:tc>
          <w:tcPr>
            <w:tcW w:w="1080"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186.54</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780" w:type="pct"/>
            <w:gridSpan w:val="5"/>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80"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780" w:type="pct"/>
            <w:gridSpan w:val="5"/>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80"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780" w:type="pct"/>
            <w:gridSpan w:val="5"/>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80"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780" w:type="pct"/>
            <w:gridSpan w:val="5"/>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405"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267"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407"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780"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建成公里数量</w:t>
            </w:r>
          </w:p>
        </w:tc>
        <w:tc>
          <w:tcPr>
            <w:tcW w:w="405"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267"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w:t>
            </w:r>
          </w:p>
        </w:tc>
        <w:tc>
          <w:tcPr>
            <w:tcW w:w="407"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公里</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780" w:type="pct"/>
            <w:gridSpan w:val="5"/>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因原设计小班位置涵盖了部分集体林地，经与农户协商未果，在小班位置和树种上做出调整：与农户协商未达成一致意见小班由原道路两侧变更为靠近国有林场一侧单侧实施；原设计小班设计栽植西南垲木小班造林树种统一变更为楠木。</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建成面积数量</w:t>
            </w:r>
          </w:p>
        </w:tc>
        <w:tc>
          <w:tcPr>
            <w:tcW w:w="405"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267"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1400</w:t>
            </w:r>
          </w:p>
        </w:tc>
        <w:tc>
          <w:tcPr>
            <w:tcW w:w="407"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780" w:type="pct"/>
            <w:gridSpan w:val="5"/>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新造林成活率</w:t>
            </w:r>
          </w:p>
        </w:tc>
        <w:tc>
          <w:tcPr>
            <w:tcW w:w="405"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267"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85</w:t>
            </w:r>
          </w:p>
        </w:tc>
        <w:tc>
          <w:tcPr>
            <w:tcW w:w="407"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780" w:type="pct"/>
            <w:gridSpan w:val="5"/>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第二批进度款</w:t>
            </w:r>
          </w:p>
        </w:tc>
        <w:tc>
          <w:tcPr>
            <w:tcW w:w="405"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267"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114.13</w:t>
            </w:r>
          </w:p>
        </w:tc>
        <w:tc>
          <w:tcPr>
            <w:tcW w:w="407"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114.1264</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780" w:type="pct"/>
            <w:gridSpan w:val="5"/>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完成时限</w:t>
            </w:r>
          </w:p>
        </w:tc>
        <w:tc>
          <w:tcPr>
            <w:tcW w:w="405"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267"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w:t>
            </w:r>
          </w:p>
        </w:tc>
        <w:tc>
          <w:tcPr>
            <w:tcW w:w="407"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780" w:type="pct"/>
            <w:gridSpan w:val="5"/>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可持续影响指标</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可持续影响年限</w:t>
            </w:r>
          </w:p>
        </w:tc>
        <w:tc>
          <w:tcPr>
            <w:tcW w:w="405"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267"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长期</w:t>
            </w:r>
          </w:p>
        </w:tc>
        <w:tc>
          <w:tcPr>
            <w:tcW w:w="407"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长期</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780" w:type="pct"/>
            <w:gridSpan w:val="5"/>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生态效益指标</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保护林区生态安全</w:t>
            </w:r>
          </w:p>
        </w:tc>
        <w:tc>
          <w:tcPr>
            <w:tcW w:w="405"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267"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407"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780" w:type="pct"/>
            <w:gridSpan w:val="5"/>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395"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w:t>
            </w:r>
          </w:p>
        </w:tc>
        <w:tc>
          <w:tcPr>
            <w:tcW w:w="405"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267"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407"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27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780" w:type="pct"/>
            <w:gridSpan w:val="5"/>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3444" w:type="pct"/>
            <w:gridSpan w:val="26"/>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780"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项目自评得分98分。通过项目的实施，能够降低森林火灾的发生和有效减少发生重特大森林火灾的发生，有效保护泸县森林资源。</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结合自评情况，分析存在的问题及原因。（200字以内）</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针对项目自评中发现的问题，提出下一步改进完善的意见及有关政策性建议。（200字以内）</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nil"/>
              <w:bottom w:val="nil"/>
              <w:right w:val="nil"/>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2021年森林草原防火补助项目</w:t>
            </w:r>
          </w:p>
        </w:tc>
      </w:tr>
      <w:tr>
        <w:tblPrEx>
          <w:tblCellMar>
            <w:top w:w="0" w:type="dxa"/>
            <w:left w:w="108" w:type="dxa"/>
            <w:bottom w:w="0" w:type="dxa"/>
            <w:right w:w="108" w:type="dxa"/>
          </w:tblCellMar>
        </w:tblPrEx>
        <w:trPr>
          <w:trHeight w:val="42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加强地方专业扑火队伍建设，提高森林火灾综合防控能力。</w:t>
            </w:r>
          </w:p>
        </w:tc>
        <w:tc>
          <w:tcPr>
            <w:tcW w:w="1282"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地方专业队伍扑火物资装备得到有效补充，火灾防控能力得到有效提高。</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全省森林防灭火专项整治任务要求，结合省专项整治经费和任务量，通过政府采购购置战斗服20套、阻燃头套50个、阻燃手套50双、高压涡轮喷水枪1台、无人机1套、救援锁具1套、水泵背包20个、电动往复式水枪5个、多功能水枪4把、变换接口20个，交付给泸县森林防灭火地方专业队伍使用和管理。</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25.85</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25.85</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25.85</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25.85</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装备人员数量</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验收合格率</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最高限价</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28</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27.21</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小火快速处置率</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使用对象满意度</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结合自评自评得分100分。通过采购物资装备，能够有效保护地方专业扑火队伍人身安全，科学高效打早火、打小火，实现有火不存灾的目标，有效保护泸县森林资源。</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项目负责人：章胜刚</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nil"/>
              <w:bottom w:val="nil"/>
              <w:right w:val="nil"/>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下达地方队伍装备建设－森林防火用车采购资金</w:t>
            </w:r>
          </w:p>
        </w:tc>
      </w:tr>
      <w:tr>
        <w:tblPrEx>
          <w:tblCellMar>
            <w:top w:w="0" w:type="dxa"/>
            <w:left w:w="108" w:type="dxa"/>
            <w:bottom w:w="0" w:type="dxa"/>
            <w:right w:w="108" w:type="dxa"/>
          </w:tblCellMar>
        </w:tblPrEx>
        <w:trPr>
          <w:trHeight w:val="21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加强地方专业扑火队伍建设，提高森林火灾综合防控能力。</w:t>
            </w:r>
          </w:p>
        </w:tc>
        <w:tc>
          <w:tcPr>
            <w:tcW w:w="1282"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地方专业队伍扑火物资装备得到有效补充，火灾防控能力得到有效提高。</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通过政府采购3辆非执法执勤特种专业技术车辆</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66.8</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66.8</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66.8</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66.8</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车辆数量</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辆</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验收合格率</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最高限价</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69</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66.8</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小伙快速处置率</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使用对象满意度</w:t>
            </w:r>
          </w:p>
        </w:tc>
        <w:tc>
          <w:tcPr>
            <w:tcW w:w="271"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项目自评得分100分。通过政府采购3辆非执法执勤特种专业技术车辆，可以缩短突发性森林火情反应时间，快速安全处置突发性森林火情。</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auto" w:sz="4" w:space="0"/>
              <w:left w:val="nil"/>
              <w:bottom w:val="single" w:color="auto" w:sz="4" w:space="0"/>
              <w:right w:val="single" w:color="auto"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项目负责人：章胜刚</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widowControl/>
              <w:adjustRightInd w:val="0"/>
              <w:snapToGrid w:val="0"/>
              <w:spacing w:line="240" w:lineRule="atLeast"/>
              <w:jc w:val="left"/>
              <w:rPr>
                <w:rFonts w:hint="default" w:ascii="Times New Roman" w:hAnsi="Times New Roman" w:cs="Times New Roman"/>
                <w:b w:val="0"/>
                <w:bCs w:val="0"/>
                <w:kern w:val="0"/>
                <w:sz w:val="16"/>
                <w:szCs w:val="16"/>
              </w:rPr>
            </w:pPr>
          </w:p>
          <w:p>
            <w:pPr>
              <w:widowControl/>
              <w:adjustRightInd w:val="0"/>
              <w:snapToGrid w:val="0"/>
              <w:spacing w:line="240" w:lineRule="atLeast"/>
              <w:jc w:val="left"/>
              <w:rPr>
                <w:rFonts w:hint="default" w:ascii="Times New Roman" w:hAnsi="Times New Roman" w:cs="Times New Roman"/>
                <w:b w:val="0"/>
                <w:bCs w:val="0"/>
                <w:kern w:val="0"/>
                <w:sz w:val="16"/>
                <w:szCs w:val="16"/>
              </w:rPr>
            </w:pPr>
          </w:p>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auto" w:sz="4" w:space="0"/>
              <w:left w:val="single" w:color="auto" w:sz="4" w:space="0"/>
              <w:bottom w:val="single" w:color="auto"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片区国土空间总体规划编制</w:t>
            </w:r>
          </w:p>
        </w:tc>
      </w:tr>
      <w:tr>
        <w:tblPrEx>
          <w:tblCellMar>
            <w:top w:w="0" w:type="dxa"/>
            <w:left w:w="108" w:type="dxa"/>
            <w:bottom w:w="0" w:type="dxa"/>
            <w:right w:w="108" w:type="dxa"/>
          </w:tblCellMar>
        </w:tblPrEx>
        <w:trPr>
          <w:trHeight w:val="420" w:hRule="atLeast"/>
        </w:trPr>
        <w:tc>
          <w:tcPr>
            <w:tcW w:w="1167" w:type="pct"/>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xml:space="preserve"> 启动全县6个镇级片区国土空间总体规划编制工作。</w:t>
            </w:r>
          </w:p>
        </w:tc>
        <w:tc>
          <w:tcPr>
            <w:tcW w:w="1282"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已通过公开招投标形式确定由四川省国土空间规划研究院编制我县6个镇级片区国土空间总体规划。</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我局通过公开招投标形式确定由四川省国土空间规划研究院编制我县6个镇级片区国土空间总体规划，按照合同约定，合同签订生效30日后，甲方支付乙方合同总金额的30%，计人民币537.6万元（伍佰叁拾柒万陆仟元整）</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537.60</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537.60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537.60</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537.60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启动全县6个镇级片区国土空间总体规划</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规划编制费用</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537.6</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537.6</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启动全县6个镇级片区国土空间总体规划</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000000"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启动全县6个镇级片区国土空间总体规划</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有利于乡村国土空间规划、建设，有利于乡村振兴、发展</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社会用户满意度</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90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70" w:type="pct"/>
            <w:gridSpan w:val="2"/>
            <w:tcBorders>
              <w:top w:val="nil"/>
              <w:left w:val="nil"/>
              <w:bottom w:val="single" w:color="auto" w:sz="4" w:space="0"/>
              <w:right w:val="single" w:color="auto" w:sz="4" w:space="0"/>
            </w:tcBorders>
            <w:shd w:val="clear" w:color="000000" w:fill="FFFFFF"/>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auto" w:sz="4" w:space="0"/>
              <w:left w:val="nil"/>
              <w:bottom w:val="single" w:color="auto" w:sz="4" w:space="0"/>
              <w:right w:val="single" w:color="auto" w:sz="4" w:space="0"/>
            </w:tcBorders>
            <w:shd w:val="clear" w:color="000000" w:fill="FFFFFF"/>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该项目自评总分为100分。已通过公开招投标形式确定由四川省国土空间规划研究院编制我县6个镇级片区国土空间总体规划。并同步启动规划编制工作。</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项目负责人：兰发勇</w:t>
            </w:r>
          </w:p>
        </w:tc>
        <w:tc>
          <w:tcPr>
            <w:tcW w:w="1967" w:type="pct"/>
            <w:gridSpan w:val="1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村级土地利用规划编制</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支付2018-2019年已编制完成的村土地利用规划项目</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2018-2019年，我县已编制完成40个村土地利用规划，本次为结算该规划编制项目。</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nil"/>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主要用于支付2018-2019年已编制完成的村土地利用规划项目编制费用。</w:t>
            </w:r>
          </w:p>
        </w:tc>
      </w:tr>
      <w:tr>
        <w:tblPrEx>
          <w:tblCellMar>
            <w:top w:w="0" w:type="dxa"/>
            <w:left w:w="108" w:type="dxa"/>
            <w:bottom w:w="0" w:type="dxa"/>
            <w:right w:w="108" w:type="dxa"/>
          </w:tblCellMar>
        </w:tblPrEx>
        <w:trPr>
          <w:trHeight w:val="420" w:hRule="atLeast"/>
        </w:trPr>
        <w:tc>
          <w:tcPr>
            <w:tcW w:w="492"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399.89</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399.89</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399.89</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399.89</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完成村级土地利用规划编制</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规划编制费用</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399.89</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399.89</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完成村级土地利用规划编制</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已完成规划编制</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有利于乡村振兴、发展和规划引领</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社会用户满意度</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90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70" w:type="pct"/>
            <w:gridSpan w:val="2"/>
            <w:tcBorders>
              <w:top w:val="nil"/>
              <w:left w:val="nil"/>
              <w:bottom w:val="single" w:color="auto" w:sz="4" w:space="0"/>
              <w:right w:val="single" w:color="auto" w:sz="4" w:space="0"/>
            </w:tcBorders>
            <w:shd w:val="clear" w:color="000000" w:fill="FFFFFF"/>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97</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auto" w:sz="4" w:space="0"/>
              <w:left w:val="nil"/>
              <w:bottom w:val="single" w:color="auto" w:sz="4" w:space="0"/>
              <w:right w:val="single" w:color="auto" w:sz="4" w:space="0"/>
            </w:tcBorders>
            <w:shd w:val="clear" w:color="000000" w:fill="FFFFFF"/>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该项目自评总分为97分。已完成全部村级土地利用规划的编制工作。</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项目负责人：兰发勇</w:t>
            </w:r>
          </w:p>
        </w:tc>
        <w:tc>
          <w:tcPr>
            <w:tcW w:w="1967" w:type="pct"/>
            <w:gridSpan w:val="1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增减挂钩项目补充举证服务项目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支付2019年已完成的增减挂钩项目补充举证服务项目技术服务费</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2019年，按照省厅整改要求，我县已完成的增减挂钩项目补充举证工作。</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nil"/>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主要用于支付2019年已完成的增减挂钩项目补充举证服务项目技术服务费。</w:t>
            </w:r>
          </w:p>
        </w:tc>
      </w:tr>
      <w:tr>
        <w:tblPrEx>
          <w:tblCellMar>
            <w:top w:w="0" w:type="dxa"/>
            <w:left w:w="108" w:type="dxa"/>
            <w:bottom w:w="0" w:type="dxa"/>
            <w:right w:w="108" w:type="dxa"/>
          </w:tblCellMar>
        </w:tblPrEx>
        <w:trPr>
          <w:trHeight w:val="420" w:hRule="atLeast"/>
        </w:trPr>
        <w:tc>
          <w:tcPr>
            <w:tcW w:w="492"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13.04</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13.04</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13.04</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13.04</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13.04</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13.04</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完成增减挂钩项目补充举证</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举证服务费用</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13.04</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13.04</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完成增减挂钩项目补充举证</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已完成增减挂钩项目补充举证</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核准我县增减挂钩指标</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社会用户满意度</w:t>
            </w:r>
          </w:p>
        </w:tc>
        <w:tc>
          <w:tcPr>
            <w:tcW w:w="1068" w:type="pct"/>
            <w:gridSpan w:val="10"/>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w:t>
            </w:r>
          </w:p>
        </w:tc>
        <w:tc>
          <w:tcPr>
            <w:tcW w:w="271"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90</w:t>
            </w:r>
          </w:p>
        </w:tc>
        <w:tc>
          <w:tcPr>
            <w:tcW w:w="501" w:type="pct"/>
            <w:gridSpan w:val="5"/>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70" w:type="pct"/>
            <w:gridSpan w:val="2"/>
            <w:tcBorders>
              <w:top w:val="nil"/>
              <w:left w:val="nil"/>
              <w:bottom w:val="single" w:color="auto" w:sz="4" w:space="0"/>
              <w:right w:val="single" w:color="auto" w:sz="4" w:space="0"/>
            </w:tcBorders>
            <w:shd w:val="clear" w:color="000000" w:fill="FFFFFF"/>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440" w:type="pct"/>
            <w:gridSpan w:val="2"/>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auto" w:sz="4" w:space="0"/>
              <w:left w:val="nil"/>
              <w:bottom w:val="single" w:color="auto" w:sz="4" w:space="0"/>
              <w:right w:val="single" w:color="auto" w:sz="4" w:space="0"/>
            </w:tcBorders>
            <w:shd w:val="clear" w:color="000000" w:fill="FFFFFF"/>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该项目自评总分为98分。已完成增减挂钩项目补充举证工作。</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项目负责人：兰发勇</w:t>
            </w:r>
          </w:p>
        </w:tc>
        <w:tc>
          <w:tcPr>
            <w:tcW w:w="1967" w:type="pct"/>
            <w:gridSpan w:val="1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自然保护地管理经费</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1775" w:type="pct"/>
            <w:gridSpan w:val="16"/>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1277" w:type="pct"/>
            <w:gridSpan w:val="11"/>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1775" w:type="pct"/>
            <w:gridSpan w:val="16"/>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2057" w:type="pct"/>
            <w:gridSpan w:val="16"/>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75" w:type="pct"/>
            <w:gridSpan w:val="16"/>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推进自然保护地体系建设，开展自然保护地保护、管理、宣传、自然保护地日常巡护、协助规划编制等工作。</w:t>
            </w:r>
          </w:p>
        </w:tc>
        <w:tc>
          <w:tcPr>
            <w:tcW w:w="2057" w:type="pct"/>
            <w:gridSpan w:val="16"/>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推进自然保护地体系建设，组织自然保护地属地镇街、县级相关部门、运营管理机构分管领导及具体经办人参加泸县自然保护地林长制工作联席会4次，开展自然保护地日常巡护管理工作约48次，协助规划编制等工作</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推进自然保护地体系建设，每周开展一次自然保护地日常巡查，多形式进行自然保护地生态保护宣传；定期组织自然保护地属地镇街、县级相关部门、运营管理机构分管领导及具体经办人参加每季度的泸县自然保护地林长制工作联席会4次，会同相关部门开展不定期联合巡查、会同相关股室开展自然保护地内农房建设审批、协助规划编制等相关工作。</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22.96</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22.96</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22.96</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22.96</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巡查48次</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次</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日常巡护、保护、管理、宣传</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22.96</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22.96</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完成了日常巡护及自然保护地监管相关工作</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各镇街满意度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自查评分100分，通过开展自然保护地保护、管理、宣传；自然保护地日常巡护、协助规划编制等工作，有效提升自然保护地监督力度</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项目负责人：邹艳</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pStyle w:val="2"/>
              <w:rPr>
                <w:rFonts w:hint="default" w:ascii="Times New Roman" w:hAnsi="Times New Roman" w:cs="Times New Roman"/>
                <w:b w:val="0"/>
                <w:bCs w:val="0"/>
                <w:sz w:val="10"/>
                <w:szCs w:val="10"/>
              </w:rPr>
            </w:pPr>
          </w:p>
          <w:p>
            <w:pPr>
              <w:pStyle w:val="2"/>
              <w:rPr>
                <w:rFonts w:hint="default" w:ascii="Times New Roman" w:hAnsi="Times New Roman" w:cs="Times New Roman"/>
                <w:b w:val="0"/>
                <w:bCs w:val="0"/>
                <w:sz w:val="10"/>
                <w:szCs w:val="1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9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地质灾害防治管理（含宣传培训演练）</w:t>
            </w:r>
          </w:p>
        </w:tc>
      </w:tr>
      <w:tr>
        <w:tblPrEx>
          <w:tblCellMar>
            <w:top w:w="0" w:type="dxa"/>
            <w:left w:w="108" w:type="dxa"/>
            <w:bottom w:w="0" w:type="dxa"/>
            <w:right w:w="108" w:type="dxa"/>
          </w:tblCellMar>
        </w:tblPrEx>
        <w:trPr>
          <w:trHeight w:val="255"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750" w:type="pct"/>
            <w:gridSpan w:val="6"/>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2302" w:type="pct"/>
            <w:gridSpan w:val="21"/>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750" w:type="pct"/>
            <w:gridSpan w:val="6"/>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3082" w:type="pct"/>
            <w:gridSpan w:val="26"/>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750" w:type="pct"/>
            <w:gridSpan w:val="6"/>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常态化开展地灾隐患排查，动态开展地灾防治知识宣传培训，每处地灾点至少开展一次应急避险演练</w:t>
            </w:r>
          </w:p>
        </w:tc>
        <w:tc>
          <w:tcPr>
            <w:tcW w:w="3082" w:type="pct"/>
            <w:gridSpan w:val="26"/>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组织各镇（街道）、行业主管部门和专业地勘单位常态化开展地灾隐患排查，突出汛前、汛中和雨前、雨中、雨后等重点时段；动态开展地灾防治知识宣传培训，各镇（街道）、县级部门结合辖区、行业实际开展，每处地灾点均开展了3次避险演练（含三断等特殊情境下的避险演练），有效提升了人民群众防治减灾意识和逃生自救互救能力。</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印发《关于切实做好2023年汛前地质灾害防治工作的通知》《关于做好2023年汛前地灾防治知识宣传培训演练工作的通知》等，及时安排部署隐患排查、宣传培训演练等工作。安排专业地勘单位技术人员常驻辖区，暴雨天气期间下沉一线指导开展隐患排查等工作。地勘单位在开展集中排查时坚持“边排查边宣讲”，动态开展地灾防治知识宣传培训。指导各镇（街道）对辖区在册地灾点开展地质灾害应急避险演练，做到全覆盖无遗漏。</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1076"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58.34</w:t>
            </w:r>
          </w:p>
        </w:tc>
        <w:tc>
          <w:tcPr>
            <w:tcW w:w="1076"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58.34</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58.34</w:t>
            </w:r>
          </w:p>
        </w:tc>
        <w:tc>
          <w:tcPr>
            <w:tcW w:w="1076"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58.34</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76"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76"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76"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30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502"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开展宣传培训21场次</w:t>
            </w:r>
          </w:p>
        </w:tc>
        <w:tc>
          <w:tcPr>
            <w:tcW w:w="30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2"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场次</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开展避险演练17场次</w:t>
            </w:r>
          </w:p>
        </w:tc>
        <w:tc>
          <w:tcPr>
            <w:tcW w:w="30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2"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场次</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开展隐患排查3轮</w:t>
            </w:r>
          </w:p>
        </w:tc>
        <w:tc>
          <w:tcPr>
            <w:tcW w:w="30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2"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轮</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地灾点避险演练全覆盖</w:t>
            </w:r>
          </w:p>
        </w:tc>
        <w:tc>
          <w:tcPr>
            <w:tcW w:w="30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2"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人民群众防灾减灾意识</w:t>
            </w:r>
          </w:p>
        </w:tc>
        <w:tc>
          <w:tcPr>
            <w:tcW w:w="30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502"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提升/不变/降低</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提升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人民群众满意度指标</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人民群众满意度</w:t>
            </w:r>
          </w:p>
        </w:tc>
        <w:tc>
          <w:tcPr>
            <w:tcW w:w="30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2"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参与度指标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人民群众参与度指标</w:t>
            </w:r>
          </w:p>
        </w:tc>
        <w:tc>
          <w:tcPr>
            <w:tcW w:w="947" w:type="pct"/>
            <w:gridSpan w:val="9"/>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人民群众参与度</w:t>
            </w:r>
          </w:p>
        </w:tc>
        <w:tc>
          <w:tcPr>
            <w:tcW w:w="30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2"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自评得分100分，通过地灾隐患排查，确保隐患第一时间发现、处置，确保了人民群众生命财产安全，全年未发生因地灾造成人员伤亡的情况。通过宣传培训演练，有效提升了人民群众防灾减灾、识灾报灾意识和逃生自救互救能力</w:t>
            </w:r>
          </w:p>
        </w:tc>
      </w:tr>
      <w:tr>
        <w:tblPrEx>
          <w:tblCellMar>
            <w:top w:w="0" w:type="dxa"/>
            <w:left w:w="108" w:type="dxa"/>
            <w:bottom w:w="0" w:type="dxa"/>
            <w:right w:w="108" w:type="dxa"/>
          </w:tblCellMar>
        </w:tblPrEx>
        <w:trPr>
          <w:trHeight w:val="34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34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项目负责人：罗伟</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51052122T000005555767-地质灾害专职监测</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开展地质灾害专职监测17处</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已完成地质灾害专职监测17处</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对17处地质灾害专职监测点分别落实2名专职监测员，负责日常巡查、监测、预警工作，尤其是加强雨前、雨中、雨后地灾专职监测点排查，确保一旦发生险情能第一时间组织人员转移避让。</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1149" w:type="pct"/>
            <w:gridSpan w:val="11"/>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8.10</w:t>
            </w:r>
          </w:p>
        </w:tc>
        <w:tc>
          <w:tcPr>
            <w:tcW w:w="1149" w:type="pct"/>
            <w:gridSpan w:val="11"/>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8.10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8.10</w:t>
            </w:r>
          </w:p>
        </w:tc>
        <w:tc>
          <w:tcPr>
            <w:tcW w:w="1149" w:type="pct"/>
            <w:gridSpan w:val="11"/>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8.10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149" w:type="pct"/>
            <w:gridSpan w:val="11"/>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149" w:type="pct"/>
            <w:gridSpan w:val="11"/>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149" w:type="pct"/>
            <w:gridSpan w:val="11"/>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8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594"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开展专职监测17处</w:t>
            </w:r>
          </w:p>
        </w:tc>
        <w:tc>
          <w:tcPr>
            <w:tcW w:w="28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94"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处</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落实专职监测员34名</w:t>
            </w:r>
          </w:p>
        </w:tc>
        <w:tc>
          <w:tcPr>
            <w:tcW w:w="28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94"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保障48户205人生命安全</w:t>
            </w:r>
          </w:p>
        </w:tc>
        <w:tc>
          <w:tcPr>
            <w:tcW w:w="28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w:t>
            </w:r>
          </w:p>
        </w:tc>
        <w:tc>
          <w:tcPr>
            <w:tcW w:w="594"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符合行业标准</w:t>
            </w:r>
          </w:p>
        </w:tc>
        <w:tc>
          <w:tcPr>
            <w:tcW w:w="28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94"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群测群防体系完善情况</w:t>
            </w:r>
          </w:p>
        </w:tc>
        <w:tc>
          <w:tcPr>
            <w:tcW w:w="28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594"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完善/不完善</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完善</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人民群众满意度指标</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人民群众满意度</w:t>
            </w:r>
          </w:p>
        </w:tc>
        <w:tc>
          <w:tcPr>
            <w:tcW w:w="28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94"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参与度指标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人民群众参与度指标</w:t>
            </w:r>
          </w:p>
        </w:tc>
        <w:tc>
          <w:tcPr>
            <w:tcW w:w="874"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人民群众参与度</w:t>
            </w:r>
          </w:p>
        </w:tc>
        <w:tc>
          <w:tcPr>
            <w:tcW w:w="28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94"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自评得分100分，通过地质灾害专职监测项目的实施，确保每处地质灾害隐患点均有2名专职监测员负责该处隐患日常巡排查、监测预警和组织人员转移避让等工作，确保了人民群众生命财产安全。</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项目负责人：罗伟</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8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地质灾害隐患整治</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整治消除21处地质灾害隐患</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已整治消除21处地质灾害隐患</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对玉蟾街道白龙塔村白龙塔崩塌等27处地质灾害隐患实施整治工程，落实监理单位全程监督整治过程，确保工程质量达标。对达到验收条件的工程及时组织或报请上级部门组织专家开展竣工验收，达到资金拨付进度条件的及时拨付资金。</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436.61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436.61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436.61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436.61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整治地质灾害隐患21处</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处</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资金到位情况</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资金拨付进度</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符合行业标准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保障64户281人生命安全</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人民群众满意度指标</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人民群众满意度</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参与度指标</w:t>
            </w:r>
          </w:p>
        </w:tc>
        <w:tc>
          <w:tcPr>
            <w:tcW w:w="65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人民群众参与度指标</w:t>
            </w:r>
          </w:p>
        </w:tc>
        <w:tc>
          <w:tcPr>
            <w:tcW w:w="943" w:type="pct"/>
            <w:gridSpan w:val="8"/>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人民群众参与度</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自评得分100分，通过21处地质灾害整治工程的实施，有效保障了64户281人生命安全，避免了直接经济损失近2000万元。</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项目负责人：罗伟</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2020年度国土变更调查</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县国土部门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在第三次全国国土调查成果基础上，通过开展2023年度全国国土变更调查，全面掌握我县国土利用变化情况，夯实国土调查成果作为自然资源管理工作底数、底版、底图的工作基础</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2020年度国土变更调查成果通过省级、国家级验收，成果已正式启用</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工作任务：开展遥感监测、用地管理信息下发、地方开展实地调查举证与建库工作、开展省级全面检查、开展国家级内业核查与数据库质量检查、开展国家级外业抽查核实、更新国家级国土调查数据库、变更调查国家级汇总与数据共享。项目资金根据工作的推进进度予以支付。</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99.82</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99.82</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99.82</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99.82</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变更工作工作任务</w:t>
            </w:r>
          </w:p>
        </w:tc>
        <w:tc>
          <w:tcPr>
            <w:tcW w:w="27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数据库质量达标</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总体差错率</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经济效益指标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支撑高质量发展和国土空间治理现代化</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级</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良</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成果使用者</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92</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根据自评情况，该项目自评总分为92分，按照工作要求，按时保质保量完成了2020年国土变更调查工作。</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继续加强预算绩效管理</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项目负责人：王燕飞</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土地变更调查</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县国土部门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利用最新卫星遥感影像，通过县级实地调查、逐级核查，掌握土地利用的变化情况，满足当前自然资源管理工作的需要，更新三调数据库，保障国土调查成果的现势性和准确性。</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通过县级实地调查、逐级核查，掌握土地利用的变化情况，满足当前自然资源管理工作的需要，更新三调数据库。</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通过县级实地调查、逐级核查，掌握土地利用的变化情况。</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10.12</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10.12</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10.12</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10.12</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土地变更调查工作任务</w:t>
            </w:r>
          </w:p>
        </w:tc>
        <w:tc>
          <w:tcPr>
            <w:tcW w:w="27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建设用地、耕地单项差错率</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总体差错率</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经济效益指标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支撑高质量发展和国土空间治理现代化</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级</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良</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成果使用者</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91</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根据自评情况，该项目自评总分为91分，按照工作要求，准确的实地调查举证，保证了年度变更工作的顺利推进。</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继续加强预算绩效管理</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项目负责人：王燕飞</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泸县第三次全国国土调查</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县国土部门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在第二次全国国土调查成果基础上，通过开展第三次全国国土变更调查，全面掌握我县国土利用变化情况，夯实国土调查成果作为自然资源管理工作底数、底版、底图的工作基础</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泸县第三次全国国土调查成果通过省级、国家级验收，成果已正式启用</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工作任务：开展遥感监测、用地管理信息下发、地方开展实地调查举证与建库工作、开展省级全面检查、开展国家级内业核查与数据库质量检查、开展国家级外业抽查核实、更新国家级国土调查数据库、变更调查国家级汇总与数据共享。项目资金根据工作的推进进度予以支付。</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95.31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95.31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95.31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95.31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变更工作工作任务</w:t>
            </w:r>
          </w:p>
        </w:tc>
        <w:tc>
          <w:tcPr>
            <w:tcW w:w="27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数据库质量达标</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总体差错率</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经济效益指标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支撑高质量发展和国土空间治理现代化</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级</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良</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成果使用者</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根据自评情况，该项目自评总分为95分，按照工作要求，按时保质保量完成了泸县第三次全国国土调查。</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继续加强预算绩效管理</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项目负责人：王燕飞</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2018年度土地变更调查与遥感监测</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县国土部门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在第二次全国国土调查成果基础上，通过开展2018年度土地调查，全面掌握我县国土利用变化情况，夯实国土调查成果作为自然资源管理工作底数、底版、底图的工作基础</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2018年度土地变更调查成果通过省级、国家级验收，成果已正式启用</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工作任务：开展遥感监测、用地管理信息下发、地方开展实地调查举证与建库工作、开展省级全面检查、开展国家级内业核查与数据库质量检查、开展国家级外业抽查核实、更新国家级国土调查数据库、变更调查国家级汇总与数据共享。项目资金根据工作的推进进度予以支付。</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77.00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77.00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77.00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77.00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变更工作工作任务</w:t>
            </w:r>
          </w:p>
        </w:tc>
        <w:tc>
          <w:tcPr>
            <w:tcW w:w="27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数据库质量达标</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总体差错率</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经济效益指标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支撑高质量发展和国土空间治理现代化</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级</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良</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成果使用者</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94</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根据自评情况，该项目自评总分为94分，按照工作要求，按时保质保量完成了2018年度土地变更调查与遥感监测工作。</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继续加强预算绩效管理</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项目负责人：王燕飞</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622"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泸县“房地一体”宅基地使用权、集体建设用地使用权及房屋所有权不动产登记权籍调查项目和林地使用权、森林林木所有权不动产登记质量检验</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县国土部门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对泸县“房地一体”宅基地使用权、集体建设用地使用权及房屋所有权不动产登记项目七个标段共20个镇总计约220000宗的农村宅基地和集体建设用地已完成的1:500宗地图、房产面积测算成果进行检验</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已完成全县约220000宗农村宅基地和集体建设用地宗地测绘成果的检验工作。</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以村民小组为样本单元，按照不低于村辖区数的20%（覆盖村民小组不低于25%）进行抽样，所抽取的村民小组抽查不少于30宗，采用实地结合室内检查方式。项目资金根据工作的推进进度予以支付。</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26.76</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26.76</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26.76</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26.76</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检验工作任务</w:t>
            </w:r>
          </w:p>
        </w:tc>
        <w:tc>
          <w:tcPr>
            <w:tcW w:w="27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宗地图质量达标</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房产面积测算成果达标</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可持续影响指标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测绘成果使用期限</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成果使用者</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93</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根据自评情况，该项目自评总分为93分，按照工作要求，按时保质完成了全县约220000宗的农村宅基地和集体建设用地宗地图、房产面积测算成果的检验</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继续加强预算绩效管理</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项目负责人：王燕飞</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泸县自然资源和规划局信息数据建设技术服务与存储共享交换等设备采购项目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泸县自然资源和规划局各业务数据建设相应的图层数据库，采购存储共享交换等设备。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已完成数据图层建设，已采购存储共享交换等设备。</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该项目于2020年8月20日经县政府批复同意后，进行政府采购并实施，于2021年2月完成工作并于8月通过验收合格。</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35.45</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35.45</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35.45</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35.45</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清理整合数据库建设一套</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套</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硬件设备服务器-套</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套</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符合相关要求</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1个月</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30天</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提高信息化水平</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该项工作保质保量完成，各项指标达标。</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项目负责人：张清</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25" w:hRule="atLeast"/>
        </w:trPr>
        <w:tc>
          <w:tcPr>
            <w:tcW w:w="5000" w:type="pct"/>
            <w:gridSpan w:val="37"/>
            <w:tcBorders>
              <w:top w:val="nil"/>
              <w:left w:val="nil"/>
              <w:bottom w:val="nil"/>
              <w:right w:val="nil"/>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p>
          <w:p>
            <w:pPr>
              <w:widowControl/>
              <w:adjustRightInd w:val="0"/>
              <w:snapToGrid w:val="0"/>
              <w:spacing w:line="240" w:lineRule="atLeast"/>
              <w:jc w:val="center"/>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widowControl/>
              <w:adjustRightInd w:val="0"/>
              <w:snapToGrid w:val="0"/>
              <w:spacing w:line="240" w:lineRule="atLeast"/>
              <w:jc w:val="center"/>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25" w:hRule="atLeast"/>
        </w:trPr>
        <w:tc>
          <w:tcPr>
            <w:tcW w:w="5000" w:type="pct"/>
            <w:gridSpan w:val="37"/>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25" w:hRule="atLeast"/>
        </w:trPr>
        <w:tc>
          <w:tcPr>
            <w:tcW w:w="1167" w:type="pct"/>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2200108县域内常规执法巡查、排查工作经费</w:t>
            </w:r>
          </w:p>
        </w:tc>
      </w:tr>
      <w:tr>
        <w:tblPrEx>
          <w:tblCellMar>
            <w:top w:w="0" w:type="dxa"/>
            <w:left w:w="108" w:type="dxa"/>
            <w:bottom w:w="0" w:type="dxa"/>
            <w:right w:w="108" w:type="dxa"/>
          </w:tblCellMar>
        </w:tblPrEx>
        <w:trPr>
          <w:trHeight w:val="245" w:hRule="atLeast"/>
        </w:trPr>
        <w:tc>
          <w:tcPr>
            <w:tcW w:w="1167" w:type="pct"/>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1473" w:type="pct"/>
            <w:gridSpan w:val="12"/>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c>
          <w:tcPr>
            <w:tcW w:w="1578" w:type="pct"/>
            <w:gridSpan w:val="1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泸县国土资源执法监察大队</w:t>
            </w:r>
          </w:p>
        </w:tc>
      </w:tr>
      <w:tr>
        <w:tblPrEx>
          <w:tblCellMar>
            <w:top w:w="0" w:type="dxa"/>
            <w:left w:w="108" w:type="dxa"/>
            <w:bottom w:w="0" w:type="dxa"/>
            <w:right w:w="108" w:type="dxa"/>
          </w:tblCellMar>
        </w:tblPrEx>
        <w:trPr>
          <w:trHeight w:val="225" w:hRule="atLeast"/>
        </w:trPr>
        <w:tc>
          <w:tcPr>
            <w:tcW w:w="492" w:type="pct"/>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1473" w:type="pct"/>
            <w:gridSpan w:val="12"/>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2359" w:type="pct"/>
            <w:gridSpan w:val="20"/>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473" w:type="pct"/>
            <w:gridSpan w:val="12"/>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1.开展土地、矿产动态巡查及法律法规宣传，对违法行为早发现、早制止；2.核查矿山是否存在超层越界行为，核查部省下发卫片图斑是否存在违法行为；3.对发现违法行为开展调查处理。</w:t>
            </w:r>
          </w:p>
        </w:tc>
        <w:tc>
          <w:tcPr>
            <w:tcW w:w="2359" w:type="pct"/>
            <w:gridSpan w:val="20"/>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全年发放宣传资料2万余份，开展土地执法巡查3372人次，矿产执法巡查3254人次，购买专业服务开展矿产执法巡查2次，巡查矿山70个次，核实上报土地卫片执法图斑1857个。巡查立即制止违法行为9起，全年立案查处土地案件38起，收缴罚款105.79万元，没收建构筑物3915.4平方米，拆除建构筑物占地2403.06平方米。立案查处林业案件36起，共收缴罚款80万元，责令恢复林业生产条件38.55亩。</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eastAsia="仿宋" w:cs="Times New Roman"/>
                <w:b w:val="0"/>
                <w:bCs w:val="0"/>
                <w:kern w:val="0"/>
                <w:sz w:val="16"/>
                <w:szCs w:val="16"/>
                <w:lang w:eastAsia="zh-CN"/>
              </w:rPr>
            </w:pPr>
            <w:r>
              <w:rPr>
                <w:rFonts w:hint="default" w:ascii="Times New Roman" w:hAnsi="Times New Roman" w:cs="Times New Roman"/>
                <w:b w:val="0"/>
                <w:bCs w:val="0"/>
                <w:kern w:val="0"/>
                <w:sz w:val="16"/>
                <w:szCs w:val="16"/>
              </w:rPr>
              <w:t>一是广泛宣传。坚持把舆论作为推动遏制新增违法违规行为的重要手段，通过利用发放宣传材料、电子屏幕、微信平台、入户走访等多种途径,全方位、立体式开展自然资源保护政策及法律法规宣传。</w:t>
            </w:r>
          </w:p>
          <w:p>
            <w:pPr>
              <w:widowControl/>
              <w:adjustRightInd w:val="0"/>
              <w:snapToGrid w:val="0"/>
              <w:spacing w:line="240" w:lineRule="atLeast"/>
              <w:jc w:val="left"/>
              <w:rPr>
                <w:rFonts w:hint="default" w:ascii="Times New Roman" w:hAnsi="Times New Roman" w:eastAsia="仿宋" w:cs="Times New Roman"/>
                <w:b w:val="0"/>
                <w:bCs w:val="0"/>
                <w:kern w:val="0"/>
                <w:sz w:val="16"/>
                <w:szCs w:val="16"/>
                <w:lang w:eastAsia="zh-CN"/>
              </w:rPr>
            </w:pPr>
            <w:r>
              <w:rPr>
                <w:rFonts w:hint="default" w:ascii="Times New Roman" w:hAnsi="Times New Roman" w:cs="Times New Roman"/>
                <w:b w:val="0"/>
                <w:bCs w:val="0"/>
                <w:kern w:val="0"/>
                <w:sz w:val="16"/>
                <w:szCs w:val="16"/>
              </w:rPr>
              <w:t>二是强化日常监管。通过严格落实执法监管动态巡查机制，不断加强四级网格化监管作用，努力实现对新增违法违规行为早发现、早制止，早查处。</w:t>
            </w:r>
          </w:p>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三是大力打击违法行为。结合卫片执法、森林督察、打非治违等，依法依规查处自然资源违法行为，有效遏制了新增违法，依法依规打击了自然资源违法行为。</w:t>
            </w:r>
          </w:p>
        </w:tc>
      </w:tr>
      <w:tr>
        <w:tblPrEx>
          <w:tblCellMar>
            <w:top w:w="0" w:type="dxa"/>
            <w:left w:w="108" w:type="dxa"/>
            <w:bottom w:w="0" w:type="dxa"/>
            <w:right w:w="108" w:type="dxa"/>
          </w:tblCellMar>
        </w:tblPrEx>
        <w:trPr>
          <w:trHeight w:val="435" w:hRule="atLeast"/>
        </w:trPr>
        <w:tc>
          <w:tcPr>
            <w:tcW w:w="492" w:type="pct"/>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27.64</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27.64</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27.64</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27.64</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5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35" w:hRule="atLeast"/>
        </w:trPr>
        <w:tc>
          <w:tcPr>
            <w:tcW w:w="492" w:type="pct"/>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8" w:space="0"/>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完成卫片执法图斑核实判定</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1857</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1857</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nil"/>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完成违法案件立案查处</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74</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起</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74</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nil"/>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完成执法巡查</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6626</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人次</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6626</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nil"/>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完成矿山专业队伍巡查</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个次</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70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nil"/>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通过市级、省级和部级审查</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1857</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1857</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nil"/>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整改完成时间</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防止有违法用地、违法采矿行为</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single" w:color="000000" w:sz="8" w:space="0"/>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生态效益指标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开展动态巡查，杜绝存在越界开采的现象</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起</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90"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single" w:color="000000" w:sz="8" w:space="0"/>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可持续影响指标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卫片成果使用年限</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300"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95</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219" w:type="pct"/>
            <w:gridSpan w:val="32"/>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90" w:hRule="atLeast"/>
        </w:trPr>
        <w:tc>
          <w:tcPr>
            <w:tcW w:w="492" w:type="pct"/>
            <w:gridSpan w:val="2"/>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项目自评总分98分。项目实施后，全县违法行为发生率得到有效控制，乱占耕地建房、违法采矿问题大幅减少。</w:t>
            </w:r>
          </w:p>
        </w:tc>
      </w:tr>
      <w:tr>
        <w:tblPrEx>
          <w:tblCellMar>
            <w:top w:w="0" w:type="dxa"/>
            <w:left w:w="108" w:type="dxa"/>
            <w:bottom w:w="0" w:type="dxa"/>
            <w:right w:w="108" w:type="dxa"/>
          </w:tblCellMar>
        </w:tblPrEx>
        <w:trPr>
          <w:trHeight w:val="360" w:hRule="atLeast"/>
        </w:trPr>
        <w:tc>
          <w:tcPr>
            <w:tcW w:w="492" w:type="pct"/>
            <w:gridSpan w:val="2"/>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部分老百姓依法用地意识不强，个别镇街不够重视自然资源执法工作。</w:t>
            </w:r>
          </w:p>
        </w:tc>
      </w:tr>
      <w:tr>
        <w:tblPrEx>
          <w:tblCellMar>
            <w:top w:w="0" w:type="dxa"/>
            <w:left w:w="108" w:type="dxa"/>
            <w:bottom w:w="0" w:type="dxa"/>
            <w:right w:w="108" w:type="dxa"/>
          </w:tblCellMar>
        </w:tblPrEx>
        <w:trPr>
          <w:trHeight w:val="255" w:hRule="atLeast"/>
        </w:trPr>
        <w:tc>
          <w:tcPr>
            <w:tcW w:w="492" w:type="pct"/>
            <w:gridSpan w:val="2"/>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还需加强宣传引导，指高群众依法用地、用矿、用林意识。加强对镇（街道）卫片执法工作的督导，多与地方党委政府沟通。</w:t>
            </w:r>
          </w:p>
        </w:tc>
      </w:tr>
      <w:tr>
        <w:tblPrEx>
          <w:tblCellMar>
            <w:top w:w="0" w:type="dxa"/>
            <w:left w:w="108" w:type="dxa"/>
            <w:bottom w:w="0" w:type="dxa"/>
            <w:right w:w="108" w:type="dxa"/>
          </w:tblCellMar>
        </w:tblPrEx>
        <w:trPr>
          <w:trHeight w:val="225" w:hRule="atLeast"/>
        </w:trPr>
        <w:tc>
          <w:tcPr>
            <w:tcW w:w="3032" w:type="pct"/>
            <w:gridSpan w:val="22"/>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项目负责人：李在荣</w:t>
            </w:r>
          </w:p>
        </w:tc>
        <w:tc>
          <w:tcPr>
            <w:tcW w:w="1967" w:type="pct"/>
            <w:gridSpan w:val="15"/>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25" w:hRule="atLeast"/>
        </w:trPr>
        <w:tc>
          <w:tcPr>
            <w:tcW w:w="5000" w:type="pct"/>
            <w:gridSpan w:val="37"/>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25" w:hRule="atLeast"/>
        </w:trPr>
        <w:tc>
          <w:tcPr>
            <w:tcW w:w="1167" w:type="pct"/>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51050021T000000029421-农村乱占耕地建房整治工作</w:t>
            </w:r>
          </w:p>
        </w:tc>
      </w:tr>
      <w:tr>
        <w:tblPrEx>
          <w:tblCellMar>
            <w:top w:w="0" w:type="dxa"/>
            <w:left w:w="108" w:type="dxa"/>
            <w:bottom w:w="0" w:type="dxa"/>
            <w:right w:w="108" w:type="dxa"/>
          </w:tblCellMar>
        </w:tblPrEx>
        <w:trPr>
          <w:trHeight w:val="435" w:hRule="atLeast"/>
        </w:trPr>
        <w:tc>
          <w:tcPr>
            <w:tcW w:w="1167" w:type="pct"/>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县国土部门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25" w:hRule="atLeast"/>
        </w:trPr>
        <w:tc>
          <w:tcPr>
            <w:tcW w:w="492" w:type="pct"/>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按照部省对农村乱占耕地建房问题摸排整治工作要求，继续推进摸排工作，并按部省整改工作方案制定整改方案、积极督促区县按时间节点推进问题整改。</w:t>
            </w:r>
          </w:p>
        </w:tc>
        <w:tc>
          <w:tcPr>
            <w:tcW w:w="1282" w:type="pct"/>
            <w:gridSpan w:val="10"/>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按照工作要求，继续推进摸排工作，并按部省整改工作方案制定整改方案、积极督促镇街按时间节点推进问题整改。</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农村乱占耕地建房整治工作经费主要按照部省市对农村乱占耕地建房问题专项整治工作要求，并按部省市整改工作方案制定整改方案、积极督促各镇街按时间节点推进问题整改。主要涉政策宣传、资料制作等费用。项目资金根据工作的推进进度予以支付。</w:t>
            </w:r>
          </w:p>
        </w:tc>
      </w:tr>
      <w:tr>
        <w:tblPrEx>
          <w:tblCellMar>
            <w:top w:w="0" w:type="dxa"/>
            <w:left w:w="108" w:type="dxa"/>
            <w:bottom w:w="0" w:type="dxa"/>
            <w:right w:w="108" w:type="dxa"/>
          </w:tblCellMar>
        </w:tblPrEx>
        <w:trPr>
          <w:trHeight w:val="435" w:hRule="atLeast"/>
        </w:trPr>
        <w:tc>
          <w:tcPr>
            <w:tcW w:w="492" w:type="pct"/>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21.12</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21.12</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42.24%</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预算执行率为42.24%，低于90%主要是按照践行厉行节约的工作要求，该项目的开展压缩了经费开支。</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21.12</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21.12</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42.24%</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35" w:hRule="atLeast"/>
        </w:trPr>
        <w:tc>
          <w:tcPr>
            <w:tcW w:w="492" w:type="pct"/>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8" w:space="0"/>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现场督导</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次</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30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nil"/>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会议保障</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次</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nil"/>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符合部省市专项工作要求达标情况</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nil"/>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272" w:type="pct"/>
            <w:tcBorders>
              <w:top w:val="nil"/>
              <w:left w:val="nil"/>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12</w:t>
            </w:r>
          </w:p>
        </w:tc>
        <w:tc>
          <w:tcPr>
            <w:tcW w:w="170" w:type="pct"/>
            <w:gridSpan w:val="2"/>
            <w:tcBorders>
              <w:top w:val="nil"/>
              <w:left w:val="nil"/>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nil"/>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保护耕地红线</w:t>
            </w:r>
          </w:p>
        </w:tc>
        <w:tc>
          <w:tcPr>
            <w:tcW w:w="271"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100</w:t>
            </w:r>
          </w:p>
        </w:tc>
        <w:tc>
          <w:tcPr>
            <w:tcW w:w="170"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single" w:color="000000" w:sz="8" w:space="0"/>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可持续影响指标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保护耕地，持续城市科学发展</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vMerge w:val="restart"/>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上级部门</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90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vMerge w:val="continue"/>
            <w:tcBorders>
              <w:top w:val="nil"/>
              <w:left w:val="single" w:color="000000" w:sz="8" w:space="0"/>
              <w:bottom w:val="single" w:color="000000" w:sz="8" w:space="0"/>
              <w:right w:val="single" w:color="000000" w:sz="8"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相关部门</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90</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225" w:hRule="atLeast"/>
        </w:trPr>
        <w:tc>
          <w:tcPr>
            <w:tcW w:w="4219" w:type="pct"/>
            <w:gridSpan w:val="32"/>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根据自评情况，该项目自评总分100分，按照工作要求，按部省市整改工作方案制定整改方案，采取多种形式开展政策宣传，积极督促各镇街按时间节点推进问题整改。</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根据自评情况，该项目存在的问题主要是资金的使用效率有待加强。</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根据自评中发现的问题，我单位应该在日常工作中加强预算绩效的管理工作，督促业务科室科学编制预算，加快项目实施进度，切实提高预算资金使用效率。</w:t>
            </w:r>
          </w:p>
        </w:tc>
      </w:tr>
      <w:tr>
        <w:tblPrEx>
          <w:tblCellMar>
            <w:top w:w="0" w:type="dxa"/>
            <w:left w:w="108" w:type="dxa"/>
            <w:bottom w:w="0" w:type="dxa"/>
            <w:right w:w="108" w:type="dxa"/>
          </w:tblCellMar>
        </w:tblPrEx>
        <w:trPr>
          <w:trHeight w:val="225" w:hRule="atLeast"/>
        </w:trPr>
        <w:tc>
          <w:tcPr>
            <w:tcW w:w="3032" w:type="pct"/>
            <w:gridSpan w:val="22"/>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 章汉东</w:t>
            </w:r>
          </w:p>
        </w:tc>
        <w:tc>
          <w:tcPr>
            <w:tcW w:w="1967" w:type="pct"/>
            <w:gridSpan w:val="15"/>
            <w:tcBorders>
              <w:top w:val="single" w:color="000000" w:sz="8" w:space="0"/>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 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泸县国有林场2022年购买服务充实森林管护和森林防灭火力量项目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购买社会服务充实国有林场5个工区2022年森林管护和森林防灭火力量。</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按要求开展工作，辖区内未发生人为森林火灾和破坏森林资源现象。</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服务人员按要求完成森林管护和森林防灭火工作，每月工作时间达到22天以上。</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99.95</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99.95</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99.95</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99.95</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17名服务人员到位每月巡护22天以上</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辖区内未发生人为森林火灾和破坏森林资源现象</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服务人员工资、保险等费用</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40.39</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40.39</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按时发放率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森林资源保护情况</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职工满意度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按相关规定按期完成目标任务，支付了服务单位费用。</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项目负责人：邱有权</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sz w:val="12"/>
                <w:szCs w:val="12"/>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泸县国有林场2021年林下可燃物清理项目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购买社会服务分两次清理国有林场主要道路两侧和基础设施、坟头周围约2000亩（每次约1000亩）林下可燃物。</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按照相关规定全面完成2000亩林下可燃物清理任务</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分秋、冬两季采取除草剂结合人工清除的方式对国有林场主要道路两侧米和基础设施、坟头周围各5米，面积约2000亩（每次约1000亩）林下可燃物开展两次清理工作。</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15.91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15.91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15.91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15.91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清理2000亩林下可燃物</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主要道路两侧和基础设施、坟头周围杂草杂灌得到有效清除</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合格率达95%以上</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服务人员工资、药物等费用</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15.91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15.91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按时发放率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林区火灾风险</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明显下降</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明显下降</w:t>
            </w:r>
          </w:p>
        </w:tc>
        <w:tc>
          <w:tcPr>
            <w:tcW w:w="170"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职工满意度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按相关规定按期完成目标任务，支付了服务单位费用。</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项目负责人：邱有权</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泸县国有林场龙贯山管护站建设项目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在龙贯山工区建设面积为296平方米的二层砖混楼房</w:t>
            </w:r>
          </w:p>
        </w:tc>
        <w:tc>
          <w:tcPr>
            <w:tcW w:w="1282"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按照设计图纸和清单量全面完成目标任务</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对泸县国有林场“9.16”地震受损的龙贯山管护站进行异地建设，建设面积为296平方米，结构为砖混二层楼房。</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83.93</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83.93</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84.00%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83.93</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83.93</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84.00%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面积为296平方米的二层砖混楼房</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完成工程量清单内容</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按施工图施工</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整体结构和效果</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通过验收达标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建设成本</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一审97%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9.6</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审结未完成，下降比例未定</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按时发放率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管护站条件得到改善</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职工满意度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99.6</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按相关规定按期完成目标任务，按合同支付了勘察设计、监理和建设单位费用。</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项目负责人：邱有权</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泸县国有林场2020年生物阻隔带建设服务项目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在国有林场宝峰工区完成8公里长30米宽的生物阻隔带的清林、整地打窝和植苗工作</w:t>
            </w:r>
          </w:p>
        </w:tc>
        <w:tc>
          <w:tcPr>
            <w:tcW w:w="1282"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按照要求全面完成目标任务</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2550" w:type="pct"/>
            <w:gridSpan w:val="22"/>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在国有林场宝峰工区完成8公里长30米宽、面积约300亩的生物阻隔带的清林、整地打窝和植苗工作</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39.12</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39.12</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39.12</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39.12</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300亩</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造林成活率</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造林服务成本</w:t>
            </w:r>
          </w:p>
        </w:tc>
        <w:tc>
          <w:tcPr>
            <w:tcW w:w="271" w:type="pct"/>
            <w:gridSpan w:val="4"/>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39.12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39.12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按时发放率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防火条件得到改善</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职工满意度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按相关规定按期完成目标任务，按合同支付了服务单位费用。</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项目负责人：邱有权</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疑似松材线虫病防控费</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完成2022年松材线虫病日常监测；完成2022年松材线虫病春季除治成效省级评估；完成2022年松材线虫病秋季普查及普查省级评估；完成年度枯死松树除治。</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如期保质保量完成了目标任务</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每月开展一次日常监测巡查；2022年3月底前完成了枯死松树除治任务，4月顺利通过省森防总站松材线虫病枯死松树春季除治成效省级评估；2022年11月顺利通过了省森防总站秋季普查省级评估。</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巡查12次</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次</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117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日常监测、省级评估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完成了日常监测和通过了省级评估</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各镇街满意度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每月开展一次日常监测巡查；2022年3月底前完成了枯死松树除治任务，4月顺利通过省森防总站松材线虫病枯死松树春季除治成效省级评估；2022年11月顺利通过了省森防总站秋季普查省级评估。</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项目负责人：魏福春</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松材线虫病枯死松树除治</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完成2020年度、2021年度松材线虫病枯死松树除治</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按松材线虫病防控要求全面完成了枯死松树除治</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指导督促各镇（街道）和县林场全面完成了除治任务</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171.11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171.11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171.11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171.11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除治8万株</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8.2455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除治完成率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103</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除治经费保障</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171.11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171.11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按时除治率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完成除治目标任务</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林农满意度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按照松材线虫病防治年度方案要求，保质保量的按时完成了年度除治目标任务。</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项目负责人：魏福春</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p>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退石燕煤矿采矿权价款（县级部份）</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退还石燕煤矿采矿权价款（县级部份）34.9万元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已足额退还该项价款</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根据相关规定及时足额完成石燕煤矿采矿权价款（县级部份）的退还工作。</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34.90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34.90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34.90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34.90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退还采矿权价款比列</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退还采矿权价款矿山企业个数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家</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退还采矿权价款总额</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34.9</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34.9</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按时退还率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保障矿业权人合法利益</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矿业权人满意度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项目自评得分为100分，完全高效合法的保障了矿业权人权益。</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项目负责人：黄川</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矿产资源管理工作经费</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对全县33家合法有效矿山企业开展储量管理，日常监管。</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全面完成了本年度矿山管理工作</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eastAsia="仿宋" w:cs="Times New Roman"/>
                <w:b w:val="0"/>
                <w:bCs w:val="0"/>
                <w:kern w:val="0"/>
                <w:sz w:val="16"/>
                <w:szCs w:val="16"/>
                <w:lang w:eastAsia="zh-CN"/>
              </w:rPr>
            </w:pPr>
            <w:r>
              <w:rPr>
                <w:rFonts w:hint="default" w:ascii="Times New Roman" w:hAnsi="Times New Roman" w:cs="Times New Roman"/>
                <w:b w:val="0"/>
                <w:bCs w:val="0"/>
                <w:kern w:val="0"/>
                <w:sz w:val="16"/>
                <w:szCs w:val="16"/>
              </w:rPr>
              <w:t>1、全年对33合法有效矿山企业开展各类巡排查150余次；</w:t>
            </w:r>
          </w:p>
          <w:p>
            <w:pPr>
              <w:widowControl/>
              <w:adjustRightInd w:val="0"/>
              <w:snapToGrid w:val="0"/>
              <w:spacing w:line="240" w:lineRule="atLeast"/>
              <w:jc w:val="left"/>
              <w:rPr>
                <w:rFonts w:hint="default" w:ascii="Times New Roman" w:hAnsi="Times New Roman" w:eastAsia="仿宋" w:cs="Times New Roman"/>
                <w:b w:val="0"/>
                <w:bCs w:val="0"/>
                <w:kern w:val="0"/>
                <w:sz w:val="16"/>
                <w:szCs w:val="16"/>
                <w:lang w:eastAsia="zh-CN"/>
              </w:rPr>
            </w:pPr>
            <w:r>
              <w:rPr>
                <w:rFonts w:hint="default" w:ascii="Times New Roman" w:hAnsi="Times New Roman" w:cs="Times New Roman"/>
                <w:b w:val="0"/>
                <w:bCs w:val="0"/>
                <w:kern w:val="0"/>
                <w:sz w:val="16"/>
                <w:szCs w:val="16"/>
              </w:rPr>
              <w:t>2、督促26家生产矿山编制储量年报，并通过市局审查；</w:t>
            </w:r>
          </w:p>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3、督促指导33合法有效矿山企业开展各类系统填报。</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20.60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20.60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矿山巡排查频率不低于每个矿山每季度1次</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矿山巡排查总次数不低于132次</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次</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矿山编制储量年报，并通过市局审查</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26</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26</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nil"/>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矿山企业开展各类系统填报</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33</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33</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有效管理矿山企业，维护矿业权人合法权益，保障矿业市场稳定。</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矿业权人满意度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97</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项目自评得分为97分，有效管理矿山企业，维护矿业权人合法权益，保障矿业市场稳定。</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项目负责人：黄川</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档案管理经费</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保障档案利用，保障档案室设备正常运转及档案实体安全和及时维护维修，满足单位及个人查档需求。</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档案室正常运行，完成工作任务。</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整理归档5000余件，接待单位及群众2万余人次。</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15.66</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15.66</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15.66</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15.66</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整理归档文件档案件数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4500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件</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接待单位及群众人次</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人.次</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按照档案法要求规范管理档案</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档案室设备维护及时率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满足单位及群众的档案需求</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单位及群众</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根据自评情况，该项目自评总分为100分，按照工作要求，档案室全年免费开放，保障单位及群从查档需求，档案室设备正常运转和得到及时维护维修。</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项目负责人：陈继超</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古树名木保护资金</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完成2022年古树名木保护72株日常巡护，巡查288人次，开展名木古树宣传10场次，发放宣传资料2000份。</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完成年度保护任务</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每半年开展一次日常巡护；每月开展日常监测，并在古树名木保护日开展宣传工作。</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巡查288次</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288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次</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288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117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日常监测、省级评估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完成了日常监测和通过了省级评估</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各镇街满意度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完成2022年古树名木保护72株年度保护任务。</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项目负责人：李朝霞</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51052121T000000090275—土地出让评估费</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预计土地出让评估12宗</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完成本年度土地出让评估共12宗</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国有建设用出让前市场价评估，作为土地出让底价参考依据</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保障土地出让评估宗地数量达标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保障土地出让市场评估价值的可参考性</w:t>
            </w:r>
          </w:p>
        </w:tc>
        <w:tc>
          <w:tcPr>
            <w:tcW w:w="271" w:type="pct"/>
            <w:gridSpan w:val="4"/>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保障土地出让面积达到目标值</w:t>
            </w:r>
          </w:p>
        </w:tc>
        <w:tc>
          <w:tcPr>
            <w:tcW w:w="271" w:type="pct"/>
            <w:gridSpan w:val="4"/>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保障土地成本不亏损</w:t>
            </w:r>
          </w:p>
        </w:tc>
        <w:tc>
          <w:tcPr>
            <w:tcW w:w="271" w:type="pct"/>
            <w:gridSpan w:val="4"/>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保障土地交易活动按期进行</w:t>
            </w:r>
          </w:p>
        </w:tc>
        <w:tc>
          <w:tcPr>
            <w:tcW w:w="271" w:type="pct"/>
            <w:gridSpan w:val="4"/>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保障土地交易市场的公正性、推动土地交易市场顺利进行</w:t>
            </w:r>
          </w:p>
        </w:tc>
        <w:tc>
          <w:tcPr>
            <w:tcW w:w="27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投资企业、单位或个人满意</w:t>
            </w:r>
          </w:p>
        </w:tc>
        <w:tc>
          <w:tcPr>
            <w:tcW w:w="271" w:type="pct"/>
            <w:gridSpan w:val="4"/>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国有建设用出让前市场价评估，作为土地出让底价参考依据</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项目负责人：邹方雍</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51052121T000000090275—土地出让印花税</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按本年度土地出让收益缴纳印花税</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本年度已产生土地收益757751.764142万元，享受政策减免后，已缴纳土地出让印花税248.95万元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税务部门核算本年度土地出让收益后，按相关政策规定，缴纳土地出让印花税。</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248.95</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248.95</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248.95</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248.95</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nil"/>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保障税收缴纳宗地数与土地出让宗地数等量</w:t>
            </w:r>
          </w:p>
        </w:tc>
        <w:tc>
          <w:tcPr>
            <w:tcW w:w="27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土地出让印花税严格按政策规定要求收缴</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保障税收成本不流失</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xml:space="preserve">100.00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及时完成税费缴纳</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规范土地交易市场印花税收缴行为</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缴税企业、单位或个人对土地出让印花税收缴行为认可、满意</w:t>
            </w:r>
          </w:p>
        </w:tc>
        <w:tc>
          <w:tcPr>
            <w:tcW w:w="271" w:type="pct"/>
            <w:gridSpan w:val="4"/>
            <w:tcBorders>
              <w:top w:val="nil"/>
              <w:left w:val="single" w:color="auto" w:sz="4" w:space="0"/>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税务部门核算本年度土地出让收益后，按相关政策规定，缴纳土地出让印花税。</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项目负责人：邹方雍</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办公设备采购</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保障2022年办公设备购置需求</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保障了2022年办公设备购置的需求</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购置空调4台，会议室设备1套，办公桌椅2套，保障了办公设备、系统正常运转，得到及时维护。</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18.14</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18.14</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18.14</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18.14</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购置空调</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会议室音响设备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套</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购置办公桌椅</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套</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符合相关要求</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良</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更好提高工作效率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优良中低差</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套</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使用者满意度</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根据自评情况，该项目自评总分为99分，按照工作要求，保障办公设备正常运转，满足了办公需求。</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项目负责人：陈继超</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泸县潮河镇王坪村、红兴村土地整理项目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监理合同金额：18万元，前期已拨付80%，按照合同约定项目终验合格后，付清剩余款项3.6万元。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已按照合同要求付清剩余3.6万元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通过监理对施工单位的监督，保证土地整理项目高质量完成，待项目终验合格后付清所有监理费用。</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坡改梯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80.94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80.94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整治山坪塘</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口</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生产路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500.00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米</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工程验收通过率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项目周边生活群众满意度</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9600.00%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按照合同价款的20%付款</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项目自评得分98分。本项目实施后，新增耕地面积1017.98亩，群众满意度高.</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泸县云龙镇英雄村、龙河村土地整理项目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监理合同金额：18万元，前期已拨付80%，按照合同约定项目终验合格后，付清剩余款项3.6万元。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已按照合同要求付清剩余3.6万元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通过监理对施工单位的监督，保证土地整理项目高质量完成，待项目终验合格后付清所有监理费用。</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坡改梯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150.26</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150.26</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整治山坪塘</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口</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生产路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2,134.00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米</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2,134.00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工程验收通过率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项目周边生活群众满意度</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96.00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按照合同价款的20%付款</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项目自评得分100分。本项目实施后，新增耕地面积673.65亩，群众满意度高.</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泸县得胜镇大水坝村等3个村土地整理项目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按照四川省自然资源厅办公室 [2020] -2569 号文件要求该项目应在耕地占补平衡动态监测监管系统中备案，需重新出具耕地质量评定书。</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已按照合同要求付清耕地质量评定费4.8万元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委托省自然资源厅信息中心出具耕地质量评定报告。</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4.80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4.80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4.80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4.80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耕地质量评定费项目数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验收通过率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耕地评定完成率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增加新增耕地指标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成果管理部门满意度指标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成果管理部门满意度指标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土地平整工程耕地质量评定费按合同价款100%付款</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4.80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4.8万元/个</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99分。项目新增耕地面积847.8亩，新增粮食产量730829.46公斤，经县农业局出具的耕地质量检测报告认定，经过项目工程措施、生物措施等综合治理，新增耕地达到耕种要求，项目区农业综合生产条件得到明显改善，耕地总体质量有了较大提高。</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泸县毗卢镇坳丘村等3个村土地整理项目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为改善农村我县基础设施，方便老百姓生活，我县准备实施该土地整理项目，委托公司完成该项目的勘测设计工作。</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完成项目勘测设计工作并支付相关费用。</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委托四川百川四维信息技术有限公司完成勘测设计。</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30.41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30.41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30.41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30.41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勘测设计费项目数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勘测报告合格率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勘测设计费用和其他办公费用</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30.41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30.41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97</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97分。通过泸县毗卢镇坳丘村等3个村土地整理项目勘测、可行性研究报告编制、项目规划设计、项目施工设计等工作，广泛征求群众意见，完成了该土地整理项目的前期工作，使该项目进度有序推进。</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泸县太伏镇伏龙村、青桥村土地整理项目土地整理项目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监理合同金额：19万元，前期已拨付40%，按照合同约定项目终验合格后，付清剩余款项11.4万元。项目完成终验两年后退还质量保证金。</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付清剩余监理费用11.4万元，退还质保金50万元。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本工程委托四川精正建设管理咨询有限公司负责项目的招标代理工作。通过公开招标确定四川嘉翔建筑工程有限公司承担本项目的工程施工，并签订了工程施工合同、廉政合同、安全合同。为强化工程质量、进度、投资管理，任四川腾升建设工程项目管理有限公司承担本项目的工程监理，负责对该项目工程施工进行全程监理，泸县自然资源和规划局与该单位签订了工程监理合同，项目于2017年9月开工，2018年12月完工。</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61.40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61.40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61.40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61.40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坡改梯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93.08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93.08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整治山坪塘</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口</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单体工程标示牌</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块</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旱地整理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6683.74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6683.74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监理费用和质量保证金</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51.14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51.14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项目自评得分99分。通过泸县太伏镇伏龙村、青桥村土地整理项目的实施与农村产业结构调整有机结合，达到促进产业发展，农民增收，实现农村经济增长的目的</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pStyle w:val="2"/>
              <w:rPr>
                <w:rFonts w:hint="default" w:ascii="Times New Roman" w:hAnsi="Times New Roman" w:cs="Times New Roman"/>
                <w:b w:val="0"/>
                <w:bCs w:val="0"/>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泸县云锦镇高坎村、旺龙村土地整理项目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支付项目耕地质量评定费用4.8万元。退还质量保证金37.37万元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支付项目耕地质量评定费用4.8万元。退还质量保证金37.37万元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本工程委托四川信源工程项目管理有限公司负责项目的招标代理工作。通过公开招标确定四川超能达水利水电工程有限公司承担本项目的工程施工，并签订了工程施工合同、廉政合同、安全合同。为强化工程质量、进度、投资管理，四川中善工程设计咨询有限公司承担本项目的工程监理，负责对该项目工程施工进行全程监理，泸县自然资源和规划局与该单位签订了工程监理合同，项目于2017年9月开工，2018年12月完工，2020年12月完成终验。</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42.17</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42.17</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42.17</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42.17</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新增耕地面积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881.51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881.51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整治山坪塘</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口</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单体工程标示牌</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块</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旱地整理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3426</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3426</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耕地质量评定费用和质量保证金</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42.17</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42.17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99分。通过泸县云锦镇高坎村、旺龙村土地整理项目的实施，改善生产条件和生态环境，增加有效耕地面积，提高耕地质量和土地利用率、产出率，增加农民收入，达到经济效益、社会效益和生态效益的统一</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泸县玄滩镇黄泥滩村、玉石村土地整理项目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项目验收两年后退还质量保证金210.87万元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退还质量保证金210.87万元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设计编制单位为四川润土农业工程技术有限责任公司，项目监理单位为四川兴旺建设工程项目管理有限公司。项目立项后由公开比选确定四川中鑫恒德项目管理有限公司为本项目招标代理机构，该代理公司按照相关规定公开招标确定施工单位为泸州市远宁建设工程有限公司，项目于2020年4月动工建设，2021年1月竣工，2021年9月完成终验。</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210.87</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210.87</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210.87</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210.87</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坡改梯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格田整理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1769.12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1769.12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旱地整理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2893.36</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2893.36</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水田整理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6120.28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6120.28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质量保证金</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210.87</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210.87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99分。通过泸县玄滩镇黄泥滩村、玉石村土地整理项目的实施，改善农村基础设施条件，项目实施后，随着农田道路、水利设施和绿化林带工程的配套建设，项目区内沟壑田坎、坡地将得到平整。完整的农业生产设施，改善了项目区农业生产条件，提高了土地利用率和农业生产效率，便于产业结构调整，从而保证农业生产的稳定发展，促进农业的可持续增长和农村经济可持续发展。</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泸县得胜镇荞子坝、云龙镇先锋村土地整理项目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项目终验两年后退还质量保证金231.06万元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退还质量保证金231.06万元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通过采购方式确定四川吉地城乡规划设计有限公司作为项目勘测设计单位，通过公开比选方式确定四川省政力建筑工程项目管理服务有限公司作为项目施工单位招标的代理机构，委托四川省政力建筑工程项目管理服务有限公司进行公开招标，最终确定四川屹晟建设工程有限公司 为项目的施工单位，通过比选方式确定四川兴旺建设工程项目管理有限公司为项目的监理单位，该项目于2020年3月动工建设，2021年1月竣工，2021年9月完成终验。</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231.06</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231.06</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231.06</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231.06</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坡改梯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213.3</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213.3</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格田整理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1511.67</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1511.67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旱地整理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3334.78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3334.78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水田整理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4744.38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4744.38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质量保证金</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231.06</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231.06</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100分。通过泸县得胜镇荞子坝、云龙镇先锋村土地整理项目的实施，通过项目实施，增加有效耕地面积，提高耕地质量和土地利用率、产出率，增加农民收入，达到经济效益、社会效益和生态效益的统一。</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泸县得胜镇上顶山村、顺民村土地整理项目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拨付项目进度款36万元，监理费用10.5万元。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已拨付项目进度款36万元，监理费用10.5万元。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本工程委托四川中恒工程造价审计事务所有限公司负责项目的招标代理工作。通过公开招标确定四川金渠水利工程有限公司承担本项目的工程施工，并签订了工程施工合同、廉政合同、安全合同。为强化工程质量、进度、投资管理，四川腾升建设工程项目管理有限公司承担本项目的工程监理，负责对该项目工程施工进行全程监理，泸县自然资源和规划局与该单位签订了工程监理合同。项目于2017年12月开工，2018年12月完工。</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46.51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46.51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46.51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46.51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坡改梯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285.65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285.65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格田整理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1498.31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1498.31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旱地整理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3095.2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3095.2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水田整理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4344.79</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4344.79</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进度款和监理费用</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46.51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46.51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100分。通过泸县得胜镇上顶山村、顺民村土地整理项目的实施，对项目区内田、水、路、林、村进行综合整理，改善了项目区基本设施和农田水利设施条件，增加了有效耕地面积，提高了耕地质量，改善农业生产条件和生态环境。</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泸县云锦镇板桥村、卫和村土地整理项目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退还质保金31.87万元，监理费用21万元。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已拨付项目进度款31.87万元，监理费用21万元。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本工程委托四川利民建设项目管理有限公司负责项目的招标代理工作。通过公开招标确定四川超能达水利水电工程有限公司承担本项目的工程施工并签订了工程施工合同、廉政合同、安全合同。四川中善工程设计咨询有限公司承担本项目的工程监理，负责对该项目工程施工进行全程监理，泸县自然资源和规划局与该单位签订了工程监理合同。项目于2017年9月开工，2018 年12月完工，2020年12月完成终验。</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52.87</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52.87</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52.87</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52.87</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坡改梯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159.54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159.54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格田整理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1762.48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1762.48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旱地整理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3135.2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3135.2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水田整理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5511.63</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5511.63</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进度款和监理费用</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52.87</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52.87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100分。通过泸县云锦镇板桥村、卫和村土地整理项目的实施，对项目区内田、水、路、林、村进行综合整理，改善了项目区基本设施和农田水利设施条件，增加了有效耕地面积，提高了耕地质量，改善农业生产条件和生态环境。</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泸县喻寺镇雷达村、齐心村、古桥村土地整理项目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退还质保金38.48万元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已退还质保金38.48万元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公开招标确定四川新永一集团有限公司承担本项目的工程施工，并签订了工程施工合同、廉政合同、安全合同。为强化工程质量、进度、投资管理，重庆江河工程建设监理有限公司承担本项目的工程监理，负责对该项目工程施工进行全程监理，泸县自然资源和规划局与该单位签订了工程监理合同。项目于 2017年9月开工，2018年6月完工。</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38.48</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38.48</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38.48</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38.48</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坡改梯</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135.17</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135.17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格田整理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2177.63</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2177.63</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旱地整理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3818.99</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3818.99</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水田整理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5604.24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5604.24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通过土地整理项目改善人民生活条件</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进度款和监理费用</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38.48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38.48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100分。通过泸县喻寺镇雷达村、齐心村、古桥村土地整理项目的实施，对项目区内田、水、路、林、村进行综合整理，改善了项目区基本设施和农田水利设施条件，增加了有效耕地面积，提高了耕地质量，改善农业生产条件和生态环境。</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长江干支流沿岸10公里范围内露天废弃矿山生态修复工程（泸县段）</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勘测设计费用以及工程款的支付共计42.71万元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已付勘测设计费用以及工程款的支付共计42.71万元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2019年12月，我局通过委托四川建兴工程造价咨询有限公司采用竞争性谈判方式进行采购确定四川省一一三地质工程有限公司为项目设计单位。2020年9月，我局通过政府采购方式确定施工单位为江苏中新岩土工程有限公司、监理单位为四川省美地佳源实业有限公司。该项目于2020年9月动工建设，2020年11月竣工，于2020年12月08日通过了初步验收工作，2021年1月完成终验。</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42.71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42.71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42.71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42.71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复垦点位</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种植刺槐</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2212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2212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毛竹</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360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通过矿山生态修复改善生态环境</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勘测设计费用及工程款</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42.71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42.71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项目自评得分100分。通过长江干支流沿岸10公里范围内露天废弃矿山生态修复工程，矿山地质环境进行治理恢复，土地得到平整，土壤得到改善，地面林草植被增加，有利于水土保持，净化空气，调节</w:t>
            </w:r>
            <w:r>
              <w:rPr>
                <w:rFonts w:hint="eastAsia" w:cs="Times New Roman"/>
                <w:b w:val="0"/>
                <w:bCs w:val="0"/>
                <w:kern w:val="0"/>
                <w:sz w:val="16"/>
                <w:szCs w:val="16"/>
                <w:lang w:eastAsia="zh-CN"/>
              </w:rPr>
              <w:t>气候</w:t>
            </w:r>
            <w:r>
              <w:rPr>
                <w:rFonts w:hint="default" w:ascii="Times New Roman" w:hAnsi="Times New Roman" w:cs="Times New Roman"/>
                <w:b w:val="0"/>
                <w:bCs w:val="0"/>
                <w:kern w:val="0"/>
                <w:sz w:val="16"/>
                <w:szCs w:val="16"/>
              </w:rPr>
              <w:t>，美化环境，改善生态，具有巨大的生态环境效益。</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泸县2020年废弃露天矿山生态修复治理工程</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支付结算审计费用及工程款</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已支付结算审计费用及工程款</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本项目废弃露天矿山生态恢复点位于泸县福集镇</w:t>
            </w:r>
            <w:r>
              <w:rPr>
                <w:rFonts w:hint="eastAsia" w:cs="Times New Roman"/>
                <w:b w:val="0"/>
                <w:bCs w:val="0"/>
                <w:kern w:val="0"/>
                <w:sz w:val="16"/>
                <w:szCs w:val="16"/>
                <w:lang w:eastAsia="zh-CN"/>
              </w:rPr>
              <w:t>（</w:t>
            </w:r>
            <w:r>
              <w:rPr>
                <w:rFonts w:hint="default" w:ascii="Times New Roman" w:hAnsi="Times New Roman" w:cs="Times New Roman"/>
                <w:b w:val="0"/>
                <w:bCs w:val="0"/>
                <w:kern w:val="0"/>
                <w:sz w:val="16"/>
                <w:szCs w:val="16"/>
              </w:rPr>
              <w:t>玉蟾街道</w:t>
            </w:r>
            <w:r>
              <w:rPr>
                <w:rFonts w:hint="eastAsia" w:cs="Times New Roman"/>
                <w:b w:val="0"/>
                <w:bCs w:val="0"/>
                <w:kern w:val="0"/>
                <w:sz w:val="16"/>
                <w:szCs w:val="16"/>
                <w:lang w:eastAsia="zh-CN"/>
              </w:rPr>
              <w:t>）</w:t>
            </w:r>
            <w:r>
              <w:rPr>
                <w:rFonts w:hint="default" w:ascii="Times New Roman" w:hAnsi="Times New Roman" w:cs="Times New Roman"/>
                <w:b w:val="0"/>
                <w:bCs w:val="0"/>
                <w:kern w:val="0"/>
                <w:sz w:val="16"/>
                <w:szCs w:val="16"/>
              </w:rPr>
              <w:t>、石桥镇，该项目开工时间为2021年03月25日，竣工时间为2021年08月09日，废弃露天矿山生态恢复点在福集镇和石桥镇，主要完成废弃房屋及围墙拆除、场地平整、排水工程、土壤培肥、植被修复、土地复垦、补植树、草自然复绿等分项工程。</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复垦点位</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种植葛藤</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1233</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1233</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安装防护栏</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1242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米</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1242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通过矿山生态修复改善生态环境</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工程款及审计费用</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项目自评得分100分。通过泸县2020年废弃露天矿山生态修复治理工程，矿山地质环境进行治理恢复，土地得到平整，土壤得到改善，地面林草植被增加，有利于水土保持，净化空气，调节</w:t>
            </w:r>
            <w:r>
              <w:rPr>
                <w:rFonts w:hint="eastAsia" w:cs="Times New Roman"/>
                <w:b w:val="0"/>
                <w:bCs w:val="0"/>
                <w:kern w:val="0"/>
                <w:sz w:val="16"/>
                <w:szCs w:val="16"/>
                <w:lang w:eastAsia="zh-CN"/>
              </w:rPr>
              <w:t>气候</w:t>
            </w:r>
            <w:r>
              <w:rPr>
                <w:rFonts w:hint="default" w:ascii="Times New Roman" w:hAnsi="Times New Roman" w:cs="Times New Roman"/>
                <w:b w:val="0"/>
                <w:bCs w:val="0"/>
                <w:kern w:val="0"/>
                <w:sz w:val="16"/>
                <w:szCs w:val="16"/>
              </w:rPr>
              <w:t>，美化环境，改善生态，具有巨大的生态环境效益。</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土地整理项目区耕地田坎补充</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市国土部门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完成土地整理项目区耕地田坎补充说明调查工作并支付作业单位费用50万元。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已完成土地整理项目区耕地田坎补充说明调查工作并支付作业单位费用50万元。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对2009年12月31日至2019年6月30日期间立项并完成验收，且已在自然资源部农村土地整治监测监管系统中备案的土地整理项目区，泸县百和镇骑龙村、柏林村和三和村土地整理项目等共20个项目区内耕地图斑内的田坎开展调查，以图斑为单元进行计算田坎面积和田坎系数进行更新，建立土地整理项目区田坎调查更新数据库。</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调查项目个数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建立数据库</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达到省上认定标准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通过矿山生态修复改善生态环境</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好坏</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好</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成果管理部门满意度指标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调查费用支付</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440" w:type="pct"/>
            <w:gridSpan w:val="2"/>
            <w:tcBorders>
              <w:top w:val="nil"/>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98分。按照文件要求，按时提交数据成果上报市局审查，待审查修改完善后将最终成果上报省厅复核，成果内容包括20个土地整理项目区田坎调查更新数据库成果、田坎测算工作方案、田坎系数汇总。</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492" w:type="pct"/>
            <w:gridSpan w:val="2"/>
            <w:tcBorders>
              <w:top w:val="nil"/>
              <w:left w:val="single" w:color="000000" w:sz="4" w:space="0"/>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项目负责人：钟华林</w:t>
            </w:r>
          </w:p>
        </w:tc>
        <w:tc>
          <w:tcPr>
            <w:tcW w:w="1967" w:type="pct"/>
            <w:gridSpan w:val="1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人员经费</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安排下达2018-2020年机关事业单位一次性退休补贴资金,安排下达2021年度援藏援彝干部人才保障资金,2022年绩效奖及相关群体待遇。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按照相关规定及时足额完成支付</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按照相关规定及时完成支付。对职工做好相关政策解释工作。</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110.32</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110.32</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因政策文件的要求，未达到年初预算编制要求，因此未纳入年初预算编制，本年调整预算。</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110.32</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110.32</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足额保障率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2018-2020年机关事业单位一次性退休补贴资金</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24.88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24.88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2021年度援藏援彝干部人才保障资金</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14.24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14.24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按时发放率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保障在职职工及退休职工待遇</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职工满意度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按相关规定对2018-2020年本单位退休人员进行清理核实，及时发放一次性退休补贴资金24.88万,安排下达2021年度援藏援彝干部人才保障资金,2022年绩效奖及相关群体待遇。对职工做好相关政策解释工作。</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项目负责人：肖成元</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年初预算人员经费</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保险职工工资及时，足额发放，科学编制人员经费预算，保障职工权益。对职工做好相关政策解释工作。</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保障职工工资得到及时足额发放。</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根据2021年10月工资表编制2022年人员经费年初预算，2022年按规定及时足额发放。</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1,898.12</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1,898.12</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1,898.12</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1,898.12</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保障在职职工人数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247</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247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编外长聘人员</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退休人员情况表</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领取遗嘱补助生活费人员</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控制在预算范围内</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1898.12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1898.12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按时发放率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保障在职职工及退休职工待遇</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职工满意度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按相关规定对及时足额发放在职职工，编外长聘人员工资以及遗嘱补人员生活补助费发放工作，做好退休人员相关工作。对职工做好相关政策解释工作。</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项目负责人：肖成元</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绩效奖金</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按照相关规定及时完成公务人员，参公人员，事业人员绩效工资</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按照相关规定及时足额完成支付</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严格按照相关发放标准，发放所在人员的绩效工资。同时对职工做好相关政策解释工作。</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696.40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696.40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696.40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696.40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足额保障率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发放金额准确性</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保障范围率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按时发放率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保障在职职工及退休职工待遇</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职工满意度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按相关规定准确发放职工绩效工资，对职工做好相关政策解释工作。</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项目负责人：肖成元</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64"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30" w:type="pct"/>
            <w:gridSpan w:val="9"/>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综合定额基本运转、单项定额基本运转</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保障单位日常运转，严格执行预算。</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按照相关规定及时完成支付</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用于单位办公用品、水费、电费、差旅费、维修维护等日常经费的开支，确保单位正常运转，顺利开展工作。</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1,947.14</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1,947.14</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1,947.14</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1,947.14</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预算编制准确性</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控制在预算范围内</w:t>
            </w:r>
          </w:p>
        </w:tc>
        <w:tc>
          <w:tcPr>
            <w:tcW w:w="271" w:type="pct"/>
            <w:gridSpan w:val="4"/>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1947.14</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1947.14</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保障日常运转</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完成部门职能职责</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办事群众满意度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及时支付单位办公用品、水费、电费、差旅费、维修维护等日常经费，保证单位正常运转，顺利开展工作。</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项目负责人：肖成元</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退耕还林工作经费</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p>
            <w:pPr>
              <w:jc w:val="center"/>
              <w:rPr>
                <w:rFonts w:hint="default" w:ascii="Times New Roman" w:hAnsi="Times New Roman" w:cs="Times New Roman"/>
                <w:b w:val="0"/>
                <w:bCs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巩固退耕还林成果7.2万亩，兑现前一轮退耕还生态林森林抚育补助114.41万元。</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巩固退耕还林成果7.2万亩，兑现前一轮退耕还生态林森林抚育补助114.41万元。</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开展7.2万亩退耕还林地块日常监测，及时兑现退耕还生态林森林抚育补助114.41万元，兑现4.7万余户。</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7.00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339" w:type="pct"/>
            <w:gridSpan w:val="14"/>
            <w:tcBorders>
              <w:top w:val="single" w:color="auto" w:sz="4" w:space="0"/>
              <w:left w:val="single" w:color="auto" w:sz="4" w:space="0"/>
              <w:bottom w:val="single" w:color="auto"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政策到期上一轮退耕还生态林纳入森林抚育补助面积</w:t>
            </w:r>
          </w:p>
        </w:tc>
        <w:tc>
          <w:tcPr>
            <w:tcW w:w="412" w:type="pct"/>
            <w:gridSpan w:val="4"/>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5.72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5.72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eastAsia" w:ascii="Times New Roman" w:hAnsi="Times New Roman" w:eastAsia="仿宋" w:cs="Times New Roman"/>
                <w:b w:val="0"/>
                <w:bCs w:val="0"/>
                <w:kern w:val="0"/>
                <w:sz w:val="16"/>
                <w:szCs w:val="16"/>
                <w:lang w:eastAsia="zh-CN"/>
              </w:rPr>
            </w:pPr>
            <w:r>
              <w:rPr>
                <w:rFonts w:hint="default" w:ascii="Times New Roman" w:hAnsi="Times New Roman" w:cs="Times New Roman"/>
                <w:b w:val="0"/>
                <w:bCs w:val="0"/>
                <w:kern w:val="0"/>
                <w:sz w:val="16"/>
                <w:szCs w:val="16"/>
              </w:rPr>
              <w:t>政策到期上一轮退耕还生态</w:t>
            </w:r>
            <w:r>
              <w:rPr>
                <w:rFonts w:hint="eastAsia" w:cs="Times New Roman"/>
                <w:b w:val="0"/>
                <w:bCs w:val="0"/>
                <w:kern w:val="0"/>
                <w:sz w:val="16"/>
                <w:szCs w:val="16"/>
                <w:lang w:eastAsia="zh-CN"/>
              </w:rPr>
              <w:t>（</w:t>
            </w:r>
            <w:r>
              <w:rPr>
                <w:rFonts w:hint="default" w:ascii="Times New Roman" w:hAnsi="Times New Roman" w:cs="Times New Roman"/>
                <w:b w:val="0"/>
                <w:bCs w:val="0"/>
                <w:kern w:val="0"/>
                <w:sz w:val="16"/>
                <w:szCs w:val="16"/>
              </w:rPr>
              <w:t>退耕还林合格率</w:t>
            </w:r>
            <w:r>
              <w:rPr>
                <w:rFonts w:hint="eastAsia" w:cs="Times New Roman"/>
                <w:b w:val="0"/>
                <w:bCs w:val="0"/>
                <w:kern w:val="0"/>
                <w:sz w:val="16"/>
                <w:szCs w:val="16"/>
                <w:lang w:eastAsia="zh-CN"/>
              </w:rPr>
              <w:t>）</w:t>
            </w:r>
          </w:p>
        </w:tc>
        <w:tc>
          <w:tcPr>
            <w:tcW w:w="271" w:type="pct"/>
            <w:gridSpan w:val="4"/>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前一轮退耕还生态林森林抚育补助</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元/亩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森林抚率当期任务完成率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持续发挥经济和生态效益</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显著</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显著</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完成年度目标任务</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项目负责人：阳述君</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竹产业发展项目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建设竹产业基地6000亩。</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潮河镇、石桥镇完成竹产业基地基础设施建设，修建提灌站一座，生产便道2.5公里，消防通道2.5公里、防火水池6个。</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潮河镇完成110千瓦提灌站1座，石桥镇完成生产便道2.5公里，森林消防通道2.5公里，修建消防水池5口，改建消防水池1口，2022年12月完工</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300.00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建设竹产业基地6000亩</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产业基地建设验收合格率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竹产业基地建设补助标准</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元/亩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产业基地建设到期完成率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可持续影响指标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持续发挥经济生态效益</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是/否</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是</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产业基地建设林农满意度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完成项目目标任务</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项目负责人：阳述君</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97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4024" w:type="pct"/>
            <w:gridSpan w:val="34"/>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eastAsia" w:ascii="Times New Roman" w:hAnsi="Times New Roman" w:eastAsia="仿宋" w:cs="Times New Roman"/>
                <w:b w:val="0"/>
                <w:bCs w:val="0"/>
                <w:kern w:val="0"/>
                <w:sz w:val="16"/>
                <w:szCs w:val="16"/>
                <w:lang w:eastAsia="zh-CN"/>
              </w:rPr>
            </w:pPr>
            <w:r>
              <w:rPr>
                <w:rFonts w:hint="default" w:ascii="Times New Roman" w:hAnsi="Times New Roman" w:cs="Times New Roman"/>
                <w:b w:val="0"/>
                <w:bCs w:val="0"/>
                <w:kern w:val="0"/>
                <w:sz w:val="16"/>
                <w:szCs w:val="16"/>
              </w:rPr>
              <w:t>退耕还林以及公益林兑现</w:t>
            </w:r>
            <w:r>
              <w:rPr>
                <w:rFonts w:hint="eastAsia" w:cs="Times New Roman"/>
                <w:b w:val="0"/>
                <w:bCs w:val="0"/>
                <w:kern w:val="0"/>
                <w:sz w:val="16"/>
                <w:szCs w:val="16"/>
                <w:lang w:eastAsia="zh-CN"/>
              </w:rPr>
              <w:t>）</w:t>
            </w:r>
          </w:p>
        </w:tc>
      </w:tr>
      <w:tr>
        <w:tblPrEx>
          <w:tblCellMar>
            <w:top w:w="0" w:type="dxa"/>
            <w:left w:w="108" w:type="dxa"/>
            <w:bottom w:w="0" w:type="dxa"/>
            <w:right w:w="108" w:type="dxa"/>
          </w:tblCellMar>
        </w:tblPrEx>
        <w:trPr>
          <w:trHeight w:val="310" w:hRule="atLeast"/>
        </w:trPr>
        <w:tc>
          <w:tcPr>
            <w:tcW w:w="97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742" w:type="pct"/>
            <w:gridSpan w:val="24"/>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483"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742" w:type="pct"/>
            <w:gridSpan w:val="24"/>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42" w:type="pct"/>
            <w:gridSpan w:val="24"/>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巩固退耕还林成果5.72万亩，实施森林管护3.23万亩</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兑现前一轮退耕还生态林森林抚育补助113.54万元，兑现户4.7万户。实施国有以外公益林管护3.23万亩，发放森林生态效益补偿50.71万元，发放户1.7万户，</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4024" w:type="pct"/>
            <w:gridSpan w:val="34"/>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对退耕还林管护成效和集体与个人所有公益林管护成效评估，自查验收合格后发放退耕还生态林森林抚育补助以及森林生态效益补偿。</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483"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1738" w:type="pct"/>
            <w:gridSpan w:val="18"/>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166.50</w:t>
            </w:r>
          </w:p>
        </w:tc>
        <w:tc>
          <w:tcPr>
            <w:tcW w:w="1738" w:type="pct"/>
            <w:gridSpan w:val="18"/>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164.25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部分退耕还林地以及公益林地块调出后不预以兑现。</w:t>
            </w:r>
          </w:p>
        </w:tc>
      </w:tr>
      <w:tr>
        <w:tblPrEx>
          <w:tblCellMar>
            <w:top w:w="0" w:type="dxa"/>
            <w:left w:w="108" w:type="dxa"/>
            <w:bottom w:w="0" w:type="dxa"/>
            <w:right w:w="108" w:type="dxa"/>
          </w:tblCellMar>
        </w:tblPrEx>
        <w:trPr>
          <w:trHeight w:val="247"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166.50</w:t>
            </w:r>
          </w:p>
        </w:tc>
        <w:tc>
          <w:tcPr>
            <w:tcW w:w="1738" w:type="pct"/>
            <w:gridSpan w:val="18"/>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164.25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54"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38" w:type="pct"/>
            <w:gridSpan w:val="18"/>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38" w:type="pct"/>
            <w:gridSpan w:val="18"/>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38" w:type="pct"/>
            <w:gridSpan w:val="18"/>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483"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31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1024" w:type="pct"/>
            <w:gridSpan w:val="11"/>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399"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396"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政策到期上一轮退耕还生态林</w:t>
            </w:r>
          </w:p>
        </w:tc>
        <w:tc>
          <w:tcPr>
            <w:tcW w:w="31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024" w:type="pct"/>
            <w:gridSpan w:val="11"/>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5.72</w:t>
            </w:r>
          </w:p>
        </w:tc>
        <w:tc>
          <w:tcPr>
            <w:tcW w:w="399"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万亩</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5.72</w:t>
            </w:r>
          </w:p>
        </w:tc>
        <w:tc>
          <w:tcPr>
            <w:tcW w:w="17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396"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68" w:type="pct"/>
            <w:gridSpan w:val="6"/>
            <w:tcBorders>
              <w:top w:val="nil"/>
              <w:left w:val="nil"/>
              <w:bottom w:val="nil"/>
              <w:right w:val="nil"/>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和公益林管护</w:t>
            </w:r>
          </w:p>
        </w:tc>
        <w:tc>
          <w:tcPr>
            <w:tcW w:w="314"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024" w:type="pct"/>
            <w:gridSpan w:val="11"/>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3.23</w:t>
            </w:r>
          </w:p>
        </w:tc>
        <w:tc>
          <w:tcPr>
            <w:tcW w:w="399"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万亩</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3.23</w:t>
            </w:r>
          </w:p>
        </w:tc>
        <w:tc>
          <w:tcPr>
            <w:tcW w:w="17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668" w:type="pct"/>
            <w:gridSpan w:val="6"/>
            <w:tcBorders>
              <w:top w:val="single" w:color="auto" w:sz="4" w:space="0"/>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森林抚育合格率</w:t>
            </w:r>
          </w:p>
        </w:tc>
        <w:tc>
          <w:tcPr>
            <w:tcW w:w="31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024" w:type="pct"/>
            <w:gridSpan w:val="11"/>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399"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396"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退耕还林补助</w:t>
            </w:r>
          </w:p>
        </w:tc>
        <w:tc>
          <w:tcPr>
            <w:tcW w:w="31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024" w:type="pct"/>
            <w:gridSpan w:val="11"/>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399"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元/亩</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7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364"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396"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公益林补助</w:t>
            </w:r>
          </w:p>
        </w:tc>
        <w:tc>
          <w:tcPr>
            <w:tcW w:w="31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024" w:type="pct"/>
            <w:gridSpan w:val="11"/>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国有天然林管护中央财政补助标准</w:t>
            </w:r>
          </w:p>
        </w:tc>
        <w:tc>
          <w:tcPr>
            <w:tcW w:w="399"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元/亩</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7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69"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396"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公益林补助</w:t>
            </w:r>
          </w:p>
        </w:tc>
        <w:tc>
          <w:tcPr>
            <w:tcW w:w="31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024" w:type="pct"/>
            <w:gridSpan w:val="11"/>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非国有地方公益林管护中央财政补助标准</w:t>
            </w:r>
          </w:p>
        </w:tc>
        <w:tc>
          <w:tcPr>
            <w:tcW w:w="399"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元/亩</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w:t>
            </w:r>
          </w:p>
        </w:tc>
        <w:tc>
          <w:tcPr>
            <w:tcW w:w="17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7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396"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公益林补助</w:t>
            </w:r>
          </w:p>
        </w:tc>
        <w:tc>
          <w:tcPr>
            <w:tcW w:w="31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024" w:type="pct"/>
            <w:gridSpan w:val="11"/>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国有国家级公益林管护中央财政补助标准</w:t>
            </w:r>
          </w:p>
        </w:tc>
        <w:tc>
          <w:tcPr>
            <w:tcW w:w="399"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元/亩</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7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77"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396"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公益林补助</w:t>
            </w:r>
          </w:p>
        </w:tc>
        <w:tc>
          <w:tcPr>
            <w:tcW w:w="31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024" w:type="pct"/>
            <w:gridSpan w:val="11"/>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非国有国家级公益林管护中央财政补助标准</w:t>
            </w:r>
          </w:p>
        </w:tc>
        <w:tc>
          <w:tcPr>
            <w:tcW w:w="399"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元/亩</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16</w:t>
            </w:r>
          </w:p>
        </w:tc>
        <w:tc>
          <w:tcPr>
            <w:tcW w:w="17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668" w:type="pct"/>
            <w:gridSpan w:val="6"/>
            <w:tcBorders>
              <w:top w:val="nil"/>
              <w:left w:val="nil"/>
              <w:bottom w:val="single" w:color="auto" w:sz="4" w:space="0"/>
              <w:right w:val="single" w:color="auto"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森林抚育当年完成率</w:t>
            </w:r>
          </w:p>
        </w:tc>
        <w:tc>
          <w:tcPr>
            <w:tcW w:w="314"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024" w:type="pct"/>
            <w:gridSpan w:val="11"/>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399"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313"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持续发挥经济生态效益</w:t>
            </w:r>
          </w:p>
        </w:tc>
        <w:tc>
          <w:tcPr>
            <w:tcW w:w="314"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1024" w:type="pct"/>
            <w:gridSpan w:val="11"/>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399"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367"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83"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39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668" w:type="pct"/>
            <w:gridSpan w:val="6"/>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群众满意度</w:t>
            </w:r>
          </w:p>
        </w:tc>
        <w:tc>
          <w:tcPr>
            <w:tcW w:w="314" w:type="pct"/>
            <w:gridSpan w:val="2"/>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024" w:type="pct"/>
            <w:gridSpan w:val="11"/>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w:t>
            </w:r>
          </w:p>
        </w:tc>
        <w:tc>
          <w:tcPr>
            <w:tcW w:w="399" w:type="pct"/>
            <w:gridSpan w:val="5"/>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8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完成项目目标任务</w:t>
            </w:r>
          </w:p>
        </w:tc>
      </w:tr>
      <w:tr>
        <w:tblPrEx>
          <w:tblCellMar>
            <w:top w:w="0" w:type="dxa"/>
            <w:left w:w="108" w:type="dxa"/>
            <w:bottom w:w="0" w:type="dxa"/>
            <w:right w:w="108" w:type="dxa"/>
          </w:tblCellMar>
        </w:tblPrEx>
        <w:trPr>
          <w:trHeight w:val="23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9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项目负责人：阳述君</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pStyle w:val="2"/>
              <w:rPr>
                <w:rFonts w:hint="default" w:ascii="Times New Roman" w:hAnsi="Times New Roman" w:cs="Times New Roman"/>
                <w:b w:val="0"/>
                <w:bCs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中央财政林草科技推广油茶示范基地项目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c>
          <w:tcPr>
            <w:tcW w:w="501" w:type="pct"/>
            <w:gridSpan w:val="5"/>
            <w:tcBorders>
              <w:top w:val="nil"/>
              <w:left w:val="nil"/>
              <w:bottom w:val="nil"/>
              <w:right w:val="nil"/>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建设油茶标准示范基地400亩，培训林农200人次。</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建设标油茶准化栽植基地150亩，丰产示范基地250亩，培训会议8场，培训林农207人次。</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建设标油茶准化栽植基地150亩，丰产示范基地250亩，培训会议8场，培训林农207人次.2022年12月接受省林草局项目验收，</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42.60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42.60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按项目合作协议支付项目总额的60%，项目完成待省级验收后支付剩余部分，</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42.60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42.60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新建油茶丰产栽培标准化示范基地和油茶提质增效标准化示范基地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亩</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造林成活率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15</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完成项目验收进度60%</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中央财政林草科技示范补助</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42.6</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42.6</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完成项目验收进度60%</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造林当年完成率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持续发挥经济生态效益</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是否明显</w:t>
            </w:r>
          </w:p>
        </w:tc>
        <w:tc>
          <w:tcPr>
            <w:tcW w:w="272" w:type="pc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明显</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示范基地建设茶农满意度</w:t>
            </w:r>
          </w:p>
        </w:tc>
        <w:tc>
          <w:tcPr>
            <w:tcW w:w="271"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w:t>
            </w:r>
          </w:p>
        </w:tc>
        <w:tc>
          <w:tcPr>
            <w:tcW w:w="272" w:type="pct"/>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95</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完成项目目标任务</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435"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暂无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项目负责人：阳述君</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值班楼装修</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消除安全隐患，优化办公环境，维修、翻新值班楼。</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项目达到预期目标，符合合同规定的相关要求，验收组一致同意本项目通过验收。</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本项目经局党组会会议通过实施，由局办公具体负责本项目，本项目于2021年9月通过验收。</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14.65</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14.65</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14.65</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14.65</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25"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8" w:space="0"/>
              <w:right w:val="single" w:color="000000" w:sz="8"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值班楼一楼大厅维修、翻新</w:t>
            </w:r>
          </w:p>
        </w:tc>
        <w:tc>
          <w:tcPr>
            <w:tcW w:w="271" w:type="pct"/>
            <w:gridSpan w:val="4"/>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处</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值班楼二楼二室维修、翻新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处</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二楼、三楼公共区域维修、翻新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处</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符合《建筑安装工程承包合同条例》、《家庭居室装饰装修管理试行办法》等要求</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保障单位正常运行，提高工作效率。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优良中低差</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使用者满意度</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根据自评情况，该项目自评总分为99分，符合合同规定的相关要求，验收组一致同意本项目通过验收。</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项目负责人：陈继超</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pStyle w:val="2"/>
              <w:rPr>
                <w:rFonts w:hint="default" w:ascii="Times New Roman" w:hAnsi="Times New Roman" w:cs="Times New Roman"/>
                <w:b w:val="0"/>
                <w:bCs w:val="0"/>
                <w:sz w:val="16"/>
                <w:szCs w:val="16"/>
              </w:rPr>
            </w:pPr>
          </w:p>
          <w:p>
            <w:pPr>
              <w:pStyle w:val="2"/>
              <w:rPr>
                <w:rFonts w:hint="default" w:ascii="Times New Roman" w:hAnsi="Times New Roman" w:cs="Times New Roman"/>
                <w:b w:val="0"/>
                <w:bCs w:val="0"/>
                <w:sz w:val="16"/>
                <w:szCs w:val="16"/>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三公经费</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完成2022年度公务接待，公务用车运行维护。</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完成2022年度公务接待，公务用车运行维护。</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局办公室统筹安排本单位公务接待，公务用车运行运行维护，保障单位正常运行。</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26.29</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26.29</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26.29</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26.29</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完成单位公务接待次数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800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人次</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保障公务车辆数</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辆</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符合公务接待相关要求</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符合公务用车管理相关要求</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经济效益指标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保障单位正常运行，提高工作效率。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优良中低差</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使用者满意度</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100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99</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根据自评情况，该项目自评总分为99分，按照工作要求，保障公务用车正常运行，完成单位的公务接待任务，满足了办公需求。</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项目负责人：陈继超</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r>
        <w:tblPrEx>
          <w:tblCellMar>
            <w:top w:w="0" w:type="dxa"/>
            <w:left w:w="108" w:type="dxa"/>
            <w:bottom w:w="0" w:type="dxa"/>
            <w:right w:w="108" w:type="dxa"/>
          </w:tblCellMar>
        </w:tblPrEx>
        <w:trPr>
          <w:trHeight w:val="210" w:hRule="atLeast"/>
        </w:trPr>
        <w:tc>
          <w:tcPr>
            <w:tcW w:w="492"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068" w:type="pct"/>
            <w:gridSpan w:val="10"/>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p>
            <w:pPr>
              <w:pStyle w:val="2"/>
              <w:rPr>
                <w:rFonts w:hint="default" w:ascii="Times New Roman" w:hAnsi="Times New Roman" w:cs="Times New Roman"/>
                <w:b w:val="0"/>
                <w:bCs w:val="0"/>
              </w:rPr>
            </w:pPr>
          </w:p>
          <w:p>
            <w:pPr>
              <w:pStyle w:val="2"/>
              <w:rPr>
                <w:rFonts w:hint="default" w:ascii="Times New Roman" w:hAnsi="Times New Roman" w:cs="Times New Roman"/>
                <w:b w:val="0"/>
                <w:bCs w:val="0"/>
              </w:rPr>
            </w:pPr>
          </w:p>
        </w:tc>
        <w:tc>
          <w:tcPr>
            <w:tcW w:w="271"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12" w:type="pct"/>
            <w:gridSpan w:val="4"/>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72"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01" w:type="pct"/>
            <w:gridSpan w:val="5"/>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7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169" w:type="pct"/>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440" w:type="pct"/>
            <w:gridSpan w:val="2"/>
            <w:tcBorders>
              <w:top w:val="nil"/>
              <w:left w:val="nil"/>
              <w:bottom w:val="nil"/>
              <w:right w:val="nil"/>
            </w:tcBorders>
            <w:shd w:val="clear" w:color="auto" w:fill="auto"/>
            <w:noWrap/>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5000" w:type="pct"/>
            <w:gridSpan w:val="3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24"/>
              </w:rPr>
            </w:pPr>
            <w:r>
              <w:rPr>
                <w:rFonts w:hint="default" w:ascii="Times New Roman" w:hAnsi="Times New Roman" w:cs="Times New Roman"/>
                <w:b w:val="0"/>
                <w:bCs w:val="0"/>
                <w:kern w:val="0"/>
                <w:sz w:val="24"/>
              </w:rPr>
              <w:t>部门预算项目支出绩效自评表（2022年度）</w:t>
            </w:r>
          </w:p>
        </w:tc>
      </w:tr>
      <w:tr>
        <w:tblPrEx>
          <w:tblCellMar>
            <w:top w:w="0" w:type="dxa"/>
            <w:left w:w="108" w:type="dxa"/>
            <w:bottom w:w="0" w:type="dxa"/>
            <w:right w:w="108" w:type="dxa"/>
          </w:tblCellMar>
        </w:tblPrEx>
        <w:trPr>
          <w:trHeight w:val="21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项目名称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泸县全国第一次森林火灾风险普查</w:t>
            </w:r>
          </w:p>
        </w:tc>
      </w:tr>
      <w:tr>
        <w:tblPrEx>
          <w:tblCellMar>
            <w:top w:w="0" w:type="dxa"/>
            <w:left w:w="108" w:type="dxa"/>
            <w:bottom w:w="0" w:type="dxa"/>
            <w:right w:w="108" w:type="dxa"/>
          </w:tblCellMar>
        </w:tblPrEx>
        <w:trPr>
          <w:trHeight w:val="420" w:hRule="atLeast"/>
        </w:trPr>
        <w:tc>
          <w:tcPr>
            <w:tcW w:w="1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主管部门</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国土部门</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实施单位 （盖章）</w:t>
            </w:r>
          </w:p>
        </w:tc>
        <w:tc>
          <w:tcPr>
            <w:tcW w:w="780" w:type="pct"/>
            <w:gridSpan w:val="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泸县自然资源和规划局</w:t>
            </w:r>
          </w:p>
        </w:tc>
      </w:tr>
      <w:tr>
        <w:tblPrEx>
          <w:tblCellMar>
            <w:top w:w="0" w:type="dxa"/>
            <w:left w:w="108" w:type="dxa"/>
            <w:bottom w:w="0" w:type="dxa"/>
            <w:right w:w="108" w:type="dxa"/>
          </w:tblCellMar>
        </w:tblPrEx>
        <w:trPr>
          <w:trHeight w:val="21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项目基本情况</w:t>
            </w: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1.项目年度目标完成情况</w:t>
            </w: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项目年度目标</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年度目标完成情况</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2550" w:type="pct"/>
            <w:gridSpan w:val="2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全面获取火灾主要致灾因子、承载体、重点隐患、减灾能力，建立分型、分区的火灾风险与减灾能力数据库，并通过评估分析，编制风险图、风险区划图、防治区划图，为泸县有效开展森林火灾防治和应急管理提供科学决策。</w:t>
            </w:r>
          </w:p>
        </w:tc>
        <w:tc>
          <w:tcPr>
            <w:tcW w:w="1282" w:type="pct"/>
            <w:gridSpan w:val="10"/>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xml:space="preserve">全面完成森林可燃物载量采集、历史森林火灾调查、野外火源点调查、森林火灾危险性评估、森林火灾减灾能力评估、森林火灾综合风险评估、森林火灾重点隐患区划、森林火灾防治区划等工作内容，编制成果报告。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2.项目实施内容及过程概述</w:t>
            </w:r>
          </w:p>
        </w:tc>
        <w:tc>
          <w:tcPr>
            <w:tcW w:w="3832" w:type="pct"/>
            <w:gridSpan w:val="32"/>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按照《国务院办公厅关于开展第一次全国自然灾害综合风险普查的通知》和《四川省林业和草原局关于开展四川省第一次森林和草原火灾风险普查的通知》，在泸县范围内开展17个标准地和一个大样地林分内可燃物因子、林分状况调查和野外火源点、火灾隐患、队伍物资等减灾能力调查，最终形成森林火灾成果报告。</w:t>
            </w: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预算执行情况（10分）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年度预算数（万元）</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年初预算</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调整后预算数</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预算执行数</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预算执行率</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原因</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总额</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34.51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34.51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其中：财政资金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34.51</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34.51</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财政专户管理资金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单位资金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0.00%</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其他资金</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956" w:type="pct"/>
            <w:gridSpan w:val="9"/>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i/>
                <w:iCs/>
                <w:kern w:val="0"/>
                <w:sz w:val="16"/>
                <w:szCs w:val="16"/>
              </w:rPr>
            </w:pPr>
            <w:r>
              <w:rPr>
                <w:rFonts w:hint="default" w:ascii="Times New Roman" w:hAnsi="Times New Roman" w:cs="Times New Roman"/>
                <w:b w:val="0"/>
                <w:bCs w:val="0"/>
                <w:i/>
                <w:iCs/>
                <w:kern w:val="0"/>
                <w:sz w:val="16"/>
                <w:szCs w:val="16"/>
              </w:rPr>
              <w:t>　</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i/>
                <w:iCs/>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绩效指标（90分）</w:t>
            </w: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一级指标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二级指标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三级指标</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指标性质</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指标值</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度量单位</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完成值</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权重</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得分</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未完成原因分析</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产出指标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调查标准地数量</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17</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数量指标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调查大样地数量</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个</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质量指标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成果等级</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成本预算</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万元</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98.6</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时效指标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完成时间</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月</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12</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效益指标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社会效益指标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人民群众生命财产安全</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定性</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优良中差</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优</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20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420" w:hRule="atLeast"/>
        </w:trPr>
        <w:tc>
          <w:tcPr>
            <w:tcW w:w="492"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c>
          <w:tcPr>
            <w:tcW w:w="674"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满意度指标</w:t>
            </w:r>
          </w:p>
        </w:tc>
        <w:tc>
          <w:tcPr>
            <w:tcW w:w="526" w:type="pct"/>
            <w:gridSpan w:val="3"/>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服务对象满意度指标</w:t>
            </w:r>
          </w:p>
        </w:tc>
        <w:tc>
          <w:tcPr>
            <w:tcW w:w="1068" w:type="pct"/>
            <w:gridSpan w:val="10"/>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使用对象满意度</w:t>
            </w:r>
          </w:p>
        </w:tc>
        <w:tc>
          <w:tcPr>
            <w:tcW w:w="271"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412" w:type="pct"/>
            <w:gridSpan w:val="4"/>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90</w:t>
            </w:r>
          </w:p>
        </w:tc>
        <w:tc>
          <w:tcPr>
            <w:tcW w:w="272"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w:t>
            </w:r>
          </w:p>
        </w:tc>
        <w:tc>
          <w:tcPr>
            <w:tcW w:w="501" w:type="pct"/>
            <w:gridSpan w:val="5"/>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w:t>
            </w:r>
          </w:p>
        </w:tc>
        <w:tc>
          <w:tcPr>
            <w:tcW w:w="440" w:type="pct"/>
            <w:gridSpan w:val="2"/>
            <w:vMerge w:val="continue"/>
            <w:tcBorders>
              <w:top w:val="nil"/>
              <w:left w:val="single" w:color="000000" w:sz="4" w:space="0"/>
              <w:bottom w:val="single" w:color="000000" w:sz="4" w:space="0"/>
              <w:right w:val="single" w:color="000000" w:sz="4" w:space="0"/>
            </w:tcBorders>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p>
        </w:tc>
      </w:tr>
      <w:tr>
        <w:tblPrEx>
          <w:tblCellMar>
            <w:top w:w="0" w:type="dxa"/>
            <w:left w:w="108" w:type="dxa"/>
            <w:bottom w:w="0" w:type="dxa"/>
            <w:right w:w="108" w:type="dxa"/>
          </w:tblCellMar>
        </w:tblPrEx>
        <w:trPr>
          <w:trHeight w:val="210" w:hRule="atLeast"/>
        </w:trPr>
        <w:tc>
          <w:tcPr>
            <w:tcW w:w="4219" w:type="pct"/>
            <w:gridSpan w:val="3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合计</w:t>
            </w:r>
          </w:p>
        </w:tc>
        <w:tc>
          <w:tcPr>
            <w:tcW w:w="17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169" w:type="pct"/>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righ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100</w:t>
            </w:r>
          </w:p>
        </w:tc>
        <w:tc>
          <w:tcPr>
            <w:tcW w:w="440" w:type="pct"/>
            <w:gridSpan w:val="2"/>
            <w:tcBorders>
              <w:top w:val="nil"/>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　</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评价结论</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项目自评得分100分。项目实施后，为指导泸县森林防灭火工作和应急救援提供决策依据，能够有效降低森林火灾的发生和有效减少发生重特大森林火灾的发生，有效保护泸县森林资源。</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存在问题</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420" w:hRule="atLeast"/>
        </w:trPr>
        <w:tc>
          <w:tcPr>
            <w:tcW w:w="492" w:type="pct"/>
            <w:gridSpan w:val="2"/>
            <w:tcBorders>
              <w:top w:val="nil"/>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center"/>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改进措施</w:t>
            </w:r>
          </w:p>
        </w:tc>
        <w:tc>
          <w:tcPr>
            <w:tcW w:w="4507" w:type="pct"/>
            <w:gridSpan w:val="3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无</w:t>
            </w:r>
          </w:p>
        </w:tc>
      </w:tr>
      <w:tr>
        <w:tblPrEx>
          <w:tblCellMar>
            <w:top w:w="0" w:type="dxa"/>
            <w:left w:w="108" w:type="dxa"/>
            <w:bottom w:w="0" w:type="dxa"/>
            <w:right w:w="108" w:type="dxa"/>
          </w:tblCellMar>
        </w:tblPrEx>
        <w:trPr>
          <w:trHeight w:val="210" w:hRule="atLeast"/>
        </w:trPr>
        <w:tc>
          <w:tcPr>
            <w:tcW w:w="3032"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项目负责人：章胜刚</w:t>
            </w:r>
          </w:p>
        </w:tc>
        <w:tc>
          <w:tcPr>
            <w:tcW w:w="1967" w:type="pct"/>
            <w:gridSpan w:val="15"/>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spacing w:line="240" w:lineRule="atLeast"/>
              <w:jc w:val="left"/>
              <w:rPr>
                <w:rFonts w:hint="default" w:ascii="Times New Roman" w:hAnsi="Times New Roman" w:cs="Times New Roman"/>
                <w:b w:val="0"/>
                <w:bCs w:val="0"/>
                <w:kern w:val="0"/>
                <w:sz w:val="16"/>
                <w:szCs w:val="16"/>
              </w:rPr>
            </w:pPr>
            <w:r>
              <w:rPr>
                <w:rFonts w:hint="default" w:ascii="Times New Roman" w:hAnsi="Times New Roman" w:cs="Times New Roman"/>
                <w:b w:val="0"/>
                <w:bCs w:val="0"/>
                <w:kern w:val="0"/>
                <w:sz w:val="16"/>
                <w:szCs w:val="16"/>
              </w:rPr>
              <w:t>财务负责人：肖成元</w:t>
            </w:r>
          </w:p>
        </w:tc>
      </w:tr>
    </w:tbl>
    <w:p>
      <w:pPr>
        <w:pStyle w:val="2"/>
        <w:rPr>
          <w:rFonts w:hint="default" w:ascii="Times New Roman" w:hAnsi="Times New Roman" w:cs="Times New Roman"/>
          <w:b w:val="0"/>
          <w:bCs w:val="0"/>
        </w:rPr>
        <w:sectPr>
          <w:footerReference r:id="rId7" w:type="first"/>
          <w:footerReference r:id="rId6" w:type="default"/>
          <w:pgSz w:w="16838" w:h="11906" w:orient="landscape"/>
          <w:pgMar w:top="567" w:right="567" w:bottom="567" w:left="567" w:header="851" w:footer="992" w:gutter="0"/>
          <w:cols w:space="425" w:num="1"/>
          <w:titlePg/>
          <w:docGrid w:type="lines" w:linePitch="435" w:charSpace="0"/>
        </w:sectPr>
      </w:pPr>
    </w:p>
    <w:p>
      <w:pPr>
        <w:pStyle w:val="3"/>
        <w:keepNext/>
        <w:keepLines/>
        <w:pageBreakBefore w:val="0"/>
        <w:widowControl w:val="0"/>
        <w:numPr>
          <w:ilvl w:val="0"/>
          <w:numId w:val="7"/>
        </w:numPr>
        <w:kinsoku/>
        <w:wordWrap/>
        <w:overflowPunct/>
        <w:topLinePunct w:val="0"/>
        <w:autoSpaceDE/>
        <w:autoSpaceDN/>
        <w:bidi w:val="0"/>
        <w:adjustRightInd/>
        <w:snapToGrid/>
        <w:spacing w:before="0" w:after="0" w:line="578" w:lineRule="exact"/>
        <w:textAlignment w:val="auto"/>
        <w:rPr>
          <w:rFonts w:hint="default" w:ascii="Times New Roman" w:hAnsi="Times New Roman" w:eastAsia="方正黑体_GBK" w:cs="Times New Roman"/>
          <w:b w:val="0"/>
          <w:bCs w:val="0"/>
          <w:sz w:val="32"/>
          <w:szCs w:val="32"/>
        </w:rPr>
      </w:pPr>
      <w:bookmarkStart w:id="110" w:name="_Toc15396618"/>
      <w:bookmarkStart w:id="111" w:name="_Toc149227159"/>
      <w:r>
        <w:rPr>
          <w:rFonts w:hint="default" w:ascii="Times New Roman" w:hAnsi="Times New Roman" w:eastAsia="方正黑体_GBK" w:cs="Times New Roman"/>
          <w:b w:val="0"/>
          <w:bCs w:val="0"/>
          <w:sz w:val="32"/>
          <w:szCs w:val="32"/>
        </w:rPr>
        <w:t>附表</w:t>
      </w:r>
      <w:bookmarkEnd w:id="101"/>
      <w:bookmarkEnd w:id="110"/>
      <w:bookmarkEnd w:id="111"/>
      <w:bookmarkStart w:id="112" w:name="_Toc15396619"/>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13" w:name="_Toc149227160"/>
      <w:r>
        <w:rPr>
          <w:rFonts w:hint="default" w:ascii="Times New Roman" w:hAnsi="Times New Roman" w:eastAsia="仿宋_GB2312" w:cs="Times New Roman"/>
          <w:b w:val="0"/>
          <w:bCs w:val="0"/>
          <w:color w:val="000000"/>
          <w:sz w:val="32"/>
          <w:szCs w:val="32"/>
        </w:rPr>
        <w:t>一、收入支出决算总表</w:t>
      </w:r>
      <w:bookmarkEnd w:id="112"/>
      <w:bookmarkEnd w:id="113"/>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14" w:name="_Toc149227161"/>
      <w:bookmarkStart w:id="115" w:name="_Toc15396620"/>
      <w:r>
        <w:rPr>
          <w:rFonts w:hint="default" w:ascii="Times New Roman" w:hAnsi="Times New Roman" w:eastAsia="仿宋_GB2312" w:cs="Times New Roman"/>
          <w:b w:val="0"/>
          <w:bCs w:val="0"/>
          <w:color w:val="000000"/>
          <w:sz w:val="32"/>
          <w:szCs w:val="32"/>
        </w:rPr>
        <w:t>二、收入决算表</w:t>
      </w:r>
      <w:bookmarkEnd w:id="114"/>
      <w:bookmarkEnd w:id="115"/>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16" w:name="_Toc149227162"/>
      <w:bookmarkStart w:id="117" w:name="_Toc15396621"/>
      <w:r>
        <w:rPr>
          <w:rFonts w:hint="default" w:ascii="Times New Roman" w:hAnsi="Times New Roman" w:eastAsia="仿宋_GB2312" w:cs="Times New Roman"/>
          <w:b w:val="0"/>
          <w:bCs w:val="0"/>
          <w:color w:val="000000"/>
          <w:sz w:val="32"/>
          <w:szCs w:val="32"/>
        </w:rPr>
        <w:t>三、支出决算表</w:t>
      </w:r>
      <w:bookmarkEnd w:id="116"/>
      <w:bookmarkEnd w:id="117"/>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18" w:name="_Toc149227163"/>
      <w:bookmarkStart w:id="119" w:name="_Toc15396622"/>
      <w:r>
        <w:rPr>
          <w:rFonts w:hint="default" w:ascii="Times New Roman" w:hAnsi="Times New Roman" w:eastAsia="仿宋_GB2312" w:cs="Times New Roman"/>
          <w:b w:val="0"/>
          <w:bCs w:val="0"/>
          <w:color w:val="000000"/>
          <w:sz w:val="32"/>
          <w:szCs w:val="32"/>
        </w:rPr>
        <w:t>四、财政拨款收入支出决算总表</w:t>
      </w:r>
      <w:bookmarkEnd w:id="118"/>
      <w:bookmarkEnd w:id="119"/>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20" w:name="_Toc149227164"/>
      <w:bookmarkStart w:id="121" w:name="_Toc15396623"/>
      <w:r>
        <w:rPr>
          <w:rFonts w:hint="default" w:ascii="Times New Roman" w:hAnsi="Times New Roman" w:eastAsia="仿宋_GB2312" w:cs="Times New Roman"/>
          <w:b w:val="0"/>
          <w:bCs w:val="0"/>
          <w:color w:val="000000"/>
          <w:sz w:val="32"/>
          <w:szCs w:val="32"/>
        </w:rPr>
        <w:t>五、财政拨款支出决算明细表</w:t>
      </w:r>
      <w:bookmarkEnd w:id="120"/>
      <w:bookmarkEnd w:id="121"/>
      <w:bookmarkStart w:id="122" w:name="_Toc15396624"/>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23" w:name="_Toc149227165"/>
      <w:r>
        <w:rPr>
          <w:rFonts w:hint="default" w:ascii="Times New Roman" w:hAnsi="Times New Roman" w:eastAsia="仿宋_GB2312" w:cs="Times New Roman"/>
          <w:b w:val="0"/>
          <w:bCs w:val="0"/>
          <w:color w:val="000000"/>
          <w:sz w:val="32"/>
          <w:szCs w:val="32"/>
        </w:rPr>
        <w:t>六、一般公共预算财政拨款支出决算表</w:t>
      </w:r>
      <w:bookmarkEnd w:id="122"/>
      <w:bookmarkEnd w:id="123"/>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24" w:name="_Toc15396625"/>
      <w:bookmarkStart w:id="125" w:name="_Toc149227166"/>
      <w:r>
        <w:rPr>
          <w:rFonts w:hint="default" w:ascii="Times New Roman" w:hAnsi="Times New Roman" w:eastAsia="仿宋_GB2312" w:cs="Times New Roman"/>
          <w:b w:val="0"/>
          <w:bCs w:val="0"/>
          <w:color w:val="000000"/>
          <w:sz w:val="32"/>
          <w:szCs w:val="32"/>
        </w:rPr>
        <w:t>七、一般公共预算财政拨款支出决算明细表</w:t>
      </w:r>
      <w:bookmarkEnd w:id="124"/>
      <w:bookmarkEnd w:id="125"/>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26" w:name="_Toc15396626"/>
      <w:bookmarkStart w:id="127" w:name="_Toc149227167"/>
      <w:r>
        <w:rPr>
          <w:rFonts w:hint="default" w:ascii="Times New Roman" w:hAnsi="Times New Roman" w:eastAsia="仿宋_GB2312" w:cs="Times New Roman"/>
          <w:b w:val="0"/>
          <w:bCs w:val="0"/>
          <w:color w:val="000000"/>
          <w:sz w:val="32"/>
          <w:szCs w:val="32"/>
        </w:rPr>
        <w:t>八、一般公共预算财政拨款基本支出决算表</w:t>
      </w:r>
      <w:bookmarkEnd w:id="126"/>
      <w:bookmarkEnd w:id="127"/>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28" w:name="_Toc149227168"/>
      <w:bookmarkStart w:id="129" w:name="_Toc15396627"/>
      <w:r>
        <w:rPr>
          <w:rFonts w:hint="default" w:ascii="Times New Roman" w:hAnsi="Times New Roman" w:eastAsia="仿宋_GB2312" w:cs="Times New Roman"/>
          <w:b w:val="0"/>
          <w:bCs w:val="0"/>
          <w:color w:val="000000"/>
          <w:sz w:val="32"/>
          <w:szCs w:val="32"/>
        </w:rPr>
        <w:t>九、一般公共预算财政拨款项目支出决算表</w:t>
      </w:r>
      <w:bookmarkEnd w:id="128"/>
      <w:bookmarkEnd w:id="129"/>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30" w:name="_Toc15396628"/>
      <w:bookmarkStart w:id="131" w:name="_Toc149227169"/>
      <w:r>
        <w:rPr>
          <w:rFonts w:hint="default" w:ascii="Times New Roman" w:hAnsi="Times New Roman" w:eastAsia="仿宋_GB2312" w:cs="Times New Roman"/>
          <w:b w:val="0"/>
          <w:bCs w:val="0"/>
          <w:color w:val="000000"/>
          <w:sz w:val="32"/>
          <w:szCs w:val="32"/>
        </w:rPr>
        <w:t>十、</w:t>
      </w:r>
      <w:bookmarkEnd w:id="130"/>
      <w:r>
        <w:rPr>
          <w:rFonts w:hint="default" w:ascii="Times New Roman" w:hAnsi="Times New Roman" w:eastAsia="仿宋_GB2312" w:cs="Times New Roman"/>
          <w:b w:val="0"/>
          <w:bCs w:val="0"/>
          <w:color w:val="000000"/>
          <w:sz w:val="32"/>
          <w:szCs w:val="32"/>
        </w:rPr>
        <w:t>政府性基金预算财政拨款收入支出决算表</w:t>
      </w:r>
      <w:bookmarkEnd w:id="131"/>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32" w:name="_Toc15396629"/>
      <w:bookmarkStart w:id="133" w:name="_Toc149227170"/>
      <w:r>
        <w:rPr>
          <w:rFonts w:hint="default" w:ascii="Times New Roman" w:hAnsi="Times New Roman" w:eastAsia="仿宋_GB2312" w:cs="Times New Roman"/>
          <w:b w:val="0"/>
          <w:bCs w:val="0"/>
          <w:color w:val="000000"/>
          <w:sz w:val="32"/>
          <w:szCs w:val="32"/>
        </w:rPr>
        <w:t>十一、</w:t>
      </w:r>
      <w:bookmarkEnd w:id="132"/>
      <w:r>
        <w:rPr>
          <w:rFonts w:hint="default" w:ascii="Times New Roman" w:hAnsi="Times New Roman" w:eastAsia="仿宋_GB2312" w:cs="Times New Roman"/>
          <w:b w:val="0"/>
          <w:bCs w:val="0"/>
          <w:color w:val="000000"/>
          <w:sz w:val="32"/>
          <w:szCs w:val="32"/>
        </w:rPr>
        <w:t>国有资本经营预算财政拨款收入支出决算表</w:t>
      </w:r>
      <w:bookmarkEnd w:id="133"/>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34" w:name="_Toc15396630"/>
      <w:bookmarkStart w:id="135" w:name="_Toc149227171"/>
      <w:r>
        <w:rPr>
          <w:rFonts w:hint="default" w:ascii="Times New Roman" w:hAnsi="Times New Roman" w:eastAsia="仿宋_GB2312" w:cs="Times New Roman"/>
          <w:b w:val="0"/>
          <w:bCs w:val="0"/>
          <w:color w:val="000000"/>
          <w:sz w:val="32"/>
          <w:szCs w:val="32"/>
        </w:rPr>
        <w:t>十二、</w:t>
      </w:r>
      <w:bookmarkEnd w:id="134"/>
      <w:r>
        <w:rPr>
          <w:rFonts w:hint="default" w:ascii="Times New Roman" w:hAnsi="Times New Roman" w:eastAsia="仿宋_GB2312" w:cs="Times New Roman"/>
          <w:b w:val="0"/>
          <w:bCs w:val="0"/>
          <w:color w:val="000000"/>
          <w:sz w:val="32"/>
          <w:szCs w:val="32"/>
        </w:rPr>
        <w:t>国有资本经营预算财政拨款支出决算表</w:t>
      </w:r>
      <w:bookmarkEnd w:id="135"/>
    </w:p>
    <w:p>
      <w:pPr>
        <w:pStyle w:val="4"/>
        <w:keepNext/>
        <w:keepLines/>
        <w:pageBreakBefore w:val="0"/>
        <w:widowControl w:val="0"/>
        <w:kinsoku/>
        <w:wordWrap/>
        <w:overflowPunct/>
        <w:topLinePunct w:val="0"/>
        <w:autoSpaceDE/>
        <w:autoSpaceDN/>
        <w:bidi w:val="0"/>
        <w:adjustRightInd/>
        <w:snapToGrid/>
        <w:spacing w:before="0" w:after="0" w:line="578" w:lineRule="exact"/>
        <w:textAlignment w:val="auto"/>
        <w:rPr>
          <w:rFonts w:hint="default" w:ascii="Times New Roman" w:hAnsi="Times New Roman" w:eastAsia="仿宋_GB2312" w:cs="Times New Roman"/>
          <w:b w:val="0"/>
          <w:bCs w:val="0"/>
          <w:color w:val="000000"/>
          <w:sz w:val="32"/>
          <w:szCs w:val="32"/>
        </w:rPr>
      </w:pPr>
      <w:bookmarkStart w:id="136" w:name="_Toc15396631"/>
      <w:bookmarkStart w:id="137" w:name="_Toc149227172"/>
      <w:r>
        <w:rPr>
          <w:rFonts w:hint="default" w:ascii="Times New Roman" w:hAnsi="Times New Roman" w:eastAsia="仿宋_GB2312" w:cs="Times New Roman"/>
          <w:b w:val="0"/>
          <w:bCs w:val="0"/>
          <w:color w:val="000000"/>
          <w:sz w:val="32"/>
          <w:szCs w:val="32"/>
        </w:rPr>
        <w:t>十三、</w:t>
      </w:r>
      <w:bookmarkEnd w:id="136"/>
      <w:r>
        <w:rPr>
          <w:rFonts w:hint="default" w:ascii="Times New Roman" w:hAnsi="Times New Roman" w:eastAsia="仿宋_GB2312" w:cs="Times New Roman"/>
          <w:b w:val="0"/>
          <w:bCs w:val="0"/>
          <w:color w:val="000000"/>
          <w:sz w:val="32"/>
          <w:szCs w:val="32"/>
        </w:rPr>
        <w:t>财政拨款“三公”经费支出决算表</w:t>
      </w:r>
      <w:bookmarkEnd w:id="137"/>
    </w:p>
    <w:sectPr>
      <w:pgSz w:w="11906" w:h="16838"/>
      <w:pgMar w:top="1786" w:right="1786" w:bottom="1786" w:left="1786" w:header="851" w:footer="992" w:gutter="0"/>
      <w:cols w:space="425" w:num="1"/>
      <w:titlePg/>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Cambria">
    <w:altName w:val="FreeSerif"/>
    <w:panose1 w:val="02040503050406030204"/>
    <w:charset w:val="00"/>
    <w:family w:val="roman"/>
    <w:pitch w:val="default"/>
    <w:sig w:usb0="00000000" w:usb1="00000000" w:usb2="00000000" w:usb3="00000000" w:csb0="2000019F" w:csb1="00000000"/>
  </w:font>
  <w:font w:name="FreeSerif">
    <w:panose1 w:val="02020603050405020304"/>
    <w:charset w:val="00"/>
    <w:family w:val="auto"/>
    <w:pitch w:val="default"/>
    <w:sig w:usb0="E59FAFFF" w:usb1="C200FDFF" w:usb2="43501B29" w:usb3="04000043" w:csb0="600101FF" w:csb1="FFFF0000"/>
  </w:font>
  <w:font w:name="仿宋_GB2312">
    <w:altName w:val="方正仿宋_GBK"/>
    <w:panose1 w:val="02010609030101010101"/>
    <w:charset w:val="86"/>
    <w:family w:val="modern"/>
    <w:pitch w:val="default"/>
    <w:sig w:usb0="00000000" w:usb1="00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
    <w:altName w:val="C059"/>
    <w:panose1 w:val="00000000000000000000"/>
    <w:charset w:val="00"/>
    <w:family w:val="roman"/>
    <w:pitch w:val="default"/>
    <w:sig w:usb0="00000000" w:usb1="00000000" w:usb2="00000000" w:usb3="00000000" w:csb0="00000000" w:csb1="00000000"/>
  </w:font>
  <w:font w:name="C059">
    <w:panose1 w:val="00000500000000000000"/>
    <w:charset w:val="00"/>
    <w:family w:val="auto"/>
    <w:pitch w:val="default"/>
    <w:sig w:usb0="00000287" w:usb1="00000800" w:usb2="00000000" w:usb3="00000000" w:csb0="6000009F" w:csb1="00000000"/>
  </w:font>
  <w:font w:name="方正小标宋简体">
    <w:panose1 w:val="03000509000000000000"/>
    <w:charset w:val="86"/>
    <w:family w:val="script"/>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楷体_GB2312">
    <w:altName w:val="方正楷体_GBK"/>
    <w:panose1 w:val="02010609030101010101"/>
    <w:charset w:val="86"/>
    <w:family w:val="auto"/>
    <w:pitch w:val="default"/>
    <w:sig w:usb0="00000000" w:usb1="00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Liberation Serif">
    <w:panose1 w:val="02020603050405020304"/>
    <w:charset w:val="00"/>
    <w:family w:val="auto"/>
    <w:pitch w:val="default"/>
    <w:sig w:usb0="A00002AF" w:usb1="500078FB" w:usb2="00000000" w:usb3="00000000" w:csb0="6000009F" w:csb1="DFD70000"/>
  </w:font>
  <w:font w:name="MathJax_Vector">
    <w:panose1 w:val="02000603000000000000"/>
    <w:charset w:val="00"/>
    <w:family w:val="auto"/>
    <w:pitch w:val="default"/>
    <w:sig w:usb0="00000001" w:usb1="00000020" w:usb2="00000000" w:usb3="00000000" w:csb0="00000001" w:csb1="00000000"/>
  </w:font>
  <w:font w:name="仿宋_GB2312">
    <w:altName w:val="方正仿宋_GBK"/>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pict>
        <v:shape id="_x0000_s2049" o:spid="_x0000_s2049" o:spt="202" type="#_x0000_t202" style="position:absolute;left:0pt;margin-top:0pt;height:37.6pt;width:9.05pt;mso-position-horizontal:right;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sdt>
                <w:sdtPr>
                  <w:id w:val="23665125"/>
                </w:sdtPr>
                <w:sdtContent>
                  <w:p>
                    <w:pPr>
                      <w:pStyle w:val="11"/>
                      <w:jc w:val="center"/>
                    </w:pPr>
                    <w:r>
                      <w:fldChar w:fldCharType="begin"/>
                    </w:r>
                    <w:r>
                      <w:instrText xml:space="preserve"> PAGE   \* MERGEFORMAT </w:instrText>
                    </w:r>
                    <w:r>
                      <w:fldChar w:fldCharType="separate"/>
                    </w:r>
                    <w:r>
                      <w:rPr>
                        <w:lang w:val="zh-CN"/>
                      </w:rPr>
                      <w:t>2</w:t>
                    </w:r>
                    <w:r>
                      <w:rPr>
                        <w:lang w:val="zh-CN"/>
                      </w:rPr>
                      <w:fldChar w:fldCharType="end"/>
                    </w:r>
                  </w:p>
                </w:sdtContent>
              </w:sdt>
              <w:p>
                <w:pPr>
                  <w:pStyle w:val="2"/>
                </w:pPr>
              </w:p>
            </w:txbxContent>
          </v:textbox>
        </v:shape>
      </w:pict>
    </w: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pict>
        <v:shape id="_x0000_s2050" o:spid="_x0000_s2050" o:spt="202" type="#_x0000_t202" style="position:absolute;left:0pt;margin-top:0pt;height:10.35pt;width:4.55pt;mso-position-horizontal:right;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11"/>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sdt>
      <w:sdtPr>
        <w:id w:val="23665126"/>
      </w:sdtPr>
      <w:sdtContent/>
    </w:sdt>
  </w:p>
  <w:p>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pict>
        <v:shape id="_x0000_s2053" o:spid="_x0000_s2053" o:spt="202" type="#_x0000_t202" style="position:absolute;left:0pt;margin-top:0pt;height:144pt;width:144pt;mso-position-horizontal:right;mso-position-horizontal-relative:margin;mso-wrap-style:none;z-index:251661312;mso-width-relative:page;mso-height-relative:page;" filled="f" stroked="f" coordsize="21600,21600">
          <v:path/>
          <v:fill on="f" focussize="0,0"/>
          <v:stroke on="f" joinstyle="miter"/>
          <v:imagedata o:title=""/>
          <o:lock v:ext="edit"/>
          <v:textbox inset="0mm,0mm,0mm,0mm" style="mso-fit-shape-to-text:t;">
            <w:txbxContent>
              <w:p>
                <w:pPr>
                  <w:pStyle w:val="11"/>
                </w:pPr>
                <w:r>
                  <w:rPr>
                    <w:rFonts w:hint="eastAsia"/>
                  </w:rPr>
                  <w:fldChar w:fldCharType="begin"/>
                </w:r>
                <w:r>
                  <w:rPr>
                    <w:rFonts w:hint="eastAsia"/>
                  </w:rPr>
                  <w:instrText xml:space="preserve"> PAGE  \* MERGEFORMAT </w:instrText>
                </w:r>
                <w:r>
                  <w:rPr>
                    <w:rFonts w:hint="eastAsia"/>
                  </w:rPr>
                  <w:fldChar w:fldCharType="separate"/>
                </w:r>
                <w:r>
                  <w:t>122</w:t>
                </w:r>
                <w:r>
                  <w:rPr>
                    <w:rFonts w:hint="eastAsia"/>
                  </w:rPr>
                  <w:fldChar w:fldCharType="end"/>
                </w:r>
              </w:p>
            </w:txbxContent>
          </v:textbox>
        </v:shape>
      </w:pict>
    </w:r>
  </w:p>
  <w:p>
    <w:pPr>
      <w:pStyle w:val="1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pict>
        <v:shape id="_x0000_s2054" o:spid="_x0000_s2054" o:spt="202" type="#_x0000_t202" style="position:absolute;left:0pt;margin-top:0pt;height:144pt;width:144pt;mso-position-horizontal:right;mso-position-horizontal-relative:margin;mso-wrap-style:none;z-index:251662336;mso-width-relative:page;mso-height-relative:page;" filled="f" stroked="f" coordsize="21600,21600">
          <v:path/>
          <v:fill on="f" focussize="0,0"/>
          <v:stroke on="f" joinstyle="miter"/>
          <v:imagedata o:title=""/>
          <o:lock v:ext="edit"/>
          <v:textbox inset="0mm,0mm,0mm,0mm" style="mso-fit-shape-to-text:t;">
            <w:txbxContent>
              <w:p>
                <w:pPr>
                  <w:pStyle w:val="11"/>
                </w:pPr>
                <w:r>
                  <w:rPr>
                    <w:rFonts w:hint="eastAsia"/>
                  </w:rPr>
                  <w:fldChar w:fldCharType="begin"/>
                </w:r>
                <w:r>
                  <w:rPr>
                    <w:rFonts w:hint="eastAsia"/>
                  </w:rPr>
                  <w:instrText xml:space="preserve"> PAGE  \* MERGEFORMAT </w:instrText>
                </w:r>
                <w:r>
                  <w:rPr>
                    <w:rFonts w:hint="eastAsia"/>
                  </w:rPr>
                  <w:fldChar w:fldCharType="separate"/>
                </w:r>
                <w:r>
                  <w:t>121</w:t>
                </w:r>
                <w:r>
                  <w:rPr>
                    <w:rFonts w:hint="eastAsia"/>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EBEF323"/>
    <w:multiLevelType w:val="singleLevel"/>
    <w:tmpl w:val="DEBEF323"/>
    <w:lvl w:ilvl="0" w:tentative="0">
      <w:start w:val="4"/>
      <w:numFmt w:val="chineseCounting"/>
      <w:suff w:val="nothing"/>
      <w:lvlText w:val="（%1）"/>
      <w:lvlJc w:val="left"/>
      <w:rPr>
        <w:rFonts w:hint="eastAsia"/>
      </w:rPr>
    </w:lvl>
  </w:abstractNum>
  <w:abstractNum w:abstractNumId="1">
    <w:nsid w:val="E1CB8951"/>
    <w:multiLevelType w:val="singleLevel"/>
    <w:tmpl w:val="E1CB8951"/>
    <w:lvl w:ilvl="0" w:tentative="0">
      <w:start w:val="2"/>
      <w:numFmt w:val="chineseCounting"/>
      <w:suff w:val="space"/>
      <w:lvlText w:val="第%1部分"/>
      <w:lvlJc w:val="left"/>
      <w:rPr>
        <w:rFonts w:hint="eastAsia"/>
      </w:rPr>
    </w:lvl>
  </w:abstractNum>
  <w:abstractNum w:abstractNumId="2">
    <w:nsid w:val="E57C5EC6"/>
    <w:multiLevelType w:val="singleLevel"/>
    <w:tmpl w:val="E57C5EC6"/>
    <w:lvl w:ilvl="0" w:tentative="0">
      <w:start w:val="5"/>
      <w:numFmt w:val="chineseCounting"/>
      <w:suff w:val="space"/>
      <w:lvlText w:val="第%1部分"/>
      <w:lvlJc w:val="left"/>
      <w:rPr>
        <w:rFonts w:hint="eastAsia"/>
      </w:rPr>
    </w:lvl>
  </w:abstractNum>
  <w:abstractNum w:abstractNumId="3">
    <w:nsid w:val="FFF674BC"/>
    <w:multiLevelType w:val="singleLevel"/>
    <w:tmpl w:val="FFF674BC"/>
    <w:lvl w:ilvl="0" w:tentative="0">
      <w:start w:val="1"/>
      <w:numFmt w:val="chineseCounting"/>
      <w:suff w:val="nothing"/>
      <w:lvlText w:val="%1、"/>
      <w:lvlJc w:val="left"/>
      <w:rPr>
        <w:rFonts w:hint="eastAsia"/>
      </w:rPr>
    </w:lvl>
  </w:abstractNum>
  <w:abstractNum w:abstractNumId="4">
    <w:nsid w:val="1013F09A"/>
    <w:multiLevelType w:val="singleLevel"/>
    <w:tmpl w:val="1013F09A"/>
    <w:lvl w:ilvl="0" w:tentative="0">
      <w:start w:val="2"/>
      <w:numFmt w:val="decimal"/>
      <w:suff w:val="space"/>
      <w:lvlText w:val="%1."/>
      <w:lvlJc w:val="left"/>
    </w:lvl>
  </w:abstractNum>
  <w:abstractNum w:abstractNumId="5">
    <w:nsid w:val="44C7640E"/>
    <w:multiLevelType w:val="singleLevel"/>
    <w:tmpl w:val="44C7640E"/>
    <w:lvl w:ilvl="0" w:tentative="0">
      <w:start w:val="2"/>
      <w:numFmt w:val="decimal"/>
      <w:suff w:val="space"/>
      <w:lvlText w:val="%1."/>
      <w:lvlJc w:val="left"/>
    </w:lvl>
  </w:abstractNum>
  <w:abstractNum w:abstractNumId="6">
    <w:nsid w:val="6D41B73B"/>
    <w:multiLevelType w:val="singleLevel"/>
    <w:tmpl w:val="6D41B73B"/>
    <w:lvl w:ilvl="0" w:tentative="0">
      <w:start w:val="2"/>
      <w:numFmt w:val="chineseCounting"/>
      <w:suff w:val="nothing"/>
      <w:lvlText w:val="%1、"/>
      <w:lvlJc w:val="left"/>
      <w:rPr>
        <w:rFonts w:hint="eastAsia"/>
      </w:rPr>
    </w:lvl>
  </w:abstractNum>
  <w:num w:numId="1">
    <w:abstractNumId w:val="1"/>
  </w:num>
  <w:num w:numId="2">
    <w:abstractNumId w:val="6"/>
  </w:num>
  <w:num w:numId="3">
    <w:abstractNumId w:val="3"/>
  </w:num>
  <w:num w:numId="4">
    <w:abstractNumId w:val="4"/>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HorizontalSpacing w:val="160"/>
  <w:drawingGridVerticalSpacing w:val="435"/>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DdmMzI0YTg2YzY5NzQ5M2NiYmMxNjg1OWM5MDk1NmIifQ=="/>
  </w:docVars>
  <w:rsids>
    <w:rsidRoot w:val="0058483B"/>
    <w:rsid w:val="00002723"/>
    <w:rsid w:val="000303C9"/>
    <w:rsid w:val="00060189"/>
    <w:rsid w:val="000760CE"/>
    <w:rsid w:val="00087A6D"/>
    <w:rsid w:val="000A4A43"/>
    <w:rsid w:val="000A5520"/>
    <w:rsid w:val="000C0594"/>
    <w:rsid w:val="000D5256"/>
    <w:rsid w:val="000F44AA"/>
    <w:rsid w:val="00103251"/>
    <w:rsid w:val="00112339"/>
    <w:rsid w:val="00115147"/>
    <w:rsid w:val="00122DCF"/>
    <w:rsid w:val="00127D50"/>
    <w:rsid w:val="00134CBB"/>
    <w:rsid w:val="001535EC"/>
    <w:rsid w:val="001646AD"/>
    <w:rsid w:val="0016780A"/>
    <w:rsid w:val="00184F92"/>
    <w:rsid w:val="00187D34"/>
    <w:rsid w:val="001A3368"/>
    <w:rsid w:val="001B2C26"/>
    <w:rsid w:val="001B7CF3"/>
    <w:rsid w:val="001B7D4F"/>
    <w:rsid w:val="001E2C34"/>
    <w:rsid w:val="001E7E28"/>
    <w:rsid w:val="001F13FE"/>
    <w:rsid w:val="00215FE8"/>
    <w:rsid w:val="0021616D"/>
    <w:rsid w:val="002176AD"/>
    <w:rsid w:val="00231DBE"/>
    <w:rsid w:val="00231E32"/>
    <w:rsid w:val="00247505"/>
    <w:rsid w:val="0025394B"/>
    <w:rsid w:val="002779F8"/>
    <w:rsid w:val="00287B30"/>
    <w:rsid w:val="002A132D"/>
    <w:rsid w:val="002A5C32"/>
    <w:rsid w:val="002B5C4A"/>
    <w:rsid w:val="002C42E5"/>
    <w:rsid w:val="002D1292"/>
    <w:rsid w:val="002D4119"/>
    <w:rsid w:val="002F59C0"/>
    <w:rsid w:val="002F6D91"/>
    <w:rsid w:val="00332AB5"/>
    <w:rsid w:val="00337962"/>
    <w:rsid w:val="00347B54"/>
    <w:rsid w:val="003533F9"/>
    <w:rsid w:val="003571DA"/>
    <w:rsid w:val="0036359E"/>
    <w:rsid w:val="0038241F"/>
    <w:rsid w:val="003D27B8"/>
    <w:rsid w:val="003D5862"/>
    <w:rsid w:val="003F4270"/>
    <w:rsid w:val="003F5060"/>
    <w:rsid w:val="00407196"/>
    <w:rsid w:val="00412FFB"/>
    <w:rsid w:val="00414133"/>
    <w:rsid w:val="00416357"/>
    <w:rsid w:val="004208F3"/>
    <w:rsid w:val="004233C0"/>
    <w:rsid w:val="0046738F"/>
    <w:rsid w:val="004A3267"/>
    <w:rsid w:val="004B3323"/>
    <w:rsid w:val="004B4D53"/>
    <w:rsid w:val="004B6F8D"/>
    <w:rsid w:val="004C3B8E"/>
    <w:rsid w:val="004E128C"/>
    <w:rsid w:val="004E3CDB"/>
    <w:rsid w:val="004E7E1C"/>
    <w:rsid w:val="004F334E"/>
    <w:rsid w:val="00500373"/>
    <w:rsid w:val="00512D20"/>
    <w:rsid w:val="00513696"/>
    <w:rsid w:val="005234F8"/>
    <w:rsid w:val="00532165"/>
    <w:rsid w:val="005353A1"/>
    <w:rsid w:val="00537275"/>
    <w:rsid w:val="00537572"/>
    <w:rsid w:val="00544649"/>
    <w:rsid w:val="00552453"/>
    <w:rsid w:val="00557C05"/>
    <w:rsid w:val="0056664D"/>
    <w:rsid w:val="0057383E"/>
    <w:rsid w:val="0058050E"/>
    <w:rsid w:val="00582501"/>
    <w:rsid w:val="00584611"/>
    <w:rsid w:val="0058483B"/>
    <w:rsid w:val="005C744B"/>
    <w:rsid w:val="005E182E"/>
    <w:rsid w:val="005E4220"/>
    <w:rsid w:val="005E571E"/>
    <w:rsid w:val="005F07CA"/>
    <w:rsid w:val="006002B6"/>
    <w:rsid w:val="00602D6C"/>
    <w:rsid w:val="00611C76"/>
    <w:rsid w:val="00636DD2"/>
    <w:rsid w:val="00655C93"/>
    <w:rsid w:val="00660F0A"/>
    <w:rsid w:val="006824FA"/>
    <w:rsid w:val="0068685F"/>
    <w:rsid w:val="0068696D"/>
    <w:rsid w:val="0069021B"/>
    <w:rsid w:val="00693D6C"/>
    <w:rsid w:val="00694C13"/>
    <w:rsid w:val="0069617A"/>
    <w:rsid w:val="006B216F"/>
    <w:rsid w:val="006C5D79"/>
    <w:rsid w:val="006E2A1B"/>
    <w:rsid w:val="006E3809"/>
    <w:rsid w:val="006F1BFA"/>
    <w:rsid w:val="006F56B8"/>
    <w:rsid w:val="006F5DF5"/>
    <w:rsid w:val="00722846"/>
    <w:rsid w:val="007313C7"/>
    <w:rsid w:val="00755AC3"/>
    <w:rsid w:val="00757F0F"/>
    <w:rsid w:val="00762BBA"/>
    <w:rsid w:val="0077233D"/>
    <w:rsid w:val="007774E8"/>
    <w:rsid w:val="00786D6A"/>
    <w:rsid w:val="007957B7"/>
    <w:rsid w:val="00795EE4"/>
    <w:rsid w:val="007A05E8"/>
    <w:rsid w:val="007B1787"/>
    <w:rsid w:val="007B5F3D"/>
    <w:rsid w:val="007C11BE"/>
    <w:rsid w:val="007C3B89"/>
    <w:rsid w:val="007C729F"/>
    <w:rsid w:val="007D5837"/>
    <w:rsid w:val="00802B19"/>
    <w:rsid w:val="00812D3A"/>
    <w:rsid w:val="0087109B"/>
    <w:rsid w:val="008918B3"/>
    <w:rsid w:val="00896A0E"/>
    <w:rsid w:val="008A41F6"/>
    <w:rsid w:val="008A6046"/>
    <w:rsid w:val="008B164C"/>
    <w:rsid w:val="008C2265"/>
    <w:rsid w:val="008D2D7D"/>
    <w:rsid w:val="008D3953"/>
    <w:rsid w:val="008E2504"/>
    <w:rsid w:val="008E640B"/>
    <w:rsid w:val="008F3CCD"/>
    <w:rsid w:val="008F3DB9"/>
    <w:rsid w:val="008F4B9B"/>
    <w:rsid w:val="00917DF0"/>
    <w:rsid w:val="00921622"/>
    <w:rsid w:val="009219C1"/>
    <w:rsid w:val="0093402A"/>
    <w:rsid w:val="00935505"/>
    <w:rsid w:val="00970660"/>
    <w:rsid w:val="00981D75"/>
    <w:rsid w:val="00983331"/>
    <w:rsid w:val="00995C7B"/>
    <w:rsid w:val="009B04BA"/>
    <w:rsid w:val="009C1DF3"/>
    <w:rsid w:val="009D3EF1"/>
    <w:rsid w:val="009F74BB"/>
    <w:rsid w:val="00A041B3"/>
    <w:rsid w:val="00A072FA"/>
    <w:rsid w:val="00A36041"/>
    <w:rsid w:val="00A36C80"/>
    <w:rsid w:val="00A40947"/>
    <w:rsid w:val="00A473BA"/>
    <w:rsid w:val="00A74C2F"/>
    <w:rsid w:val="00A76471"/>
    <w:rsid w:val="00A9359D"/>
    <w:rsid w:val="00A973B4"/>
    <w:rsid w:val="00AA5510"/>
    <w:rsid w:val="00AB3D45"/>
    <w:rsid w:val="00AB6F6B"/>
    <w:rsid w:val="00AD21CC"/>
    <w:rsid w:val="00B0422C"/>
    <w:rsid w:val="00B1577B"/>
    <w:rsid w:val="00B24754"/>
    <w:rsid w:val="00B2617C"/>
    <w:rsid w:val="00B33DEC"/>
    <w:rsid w:val="00B40B24"/>
    <w:rsid w:val="00B651A3"/>
    <w:rsid w:val="00B65268"/>
    <w:rsid w:val="00B80979"/>
    <w:rsid w:val="00BA2D88"/>
    <w:rsid w:val="00BA4270"/>
    <w:rsid w:val="00BE578B"/>
    <w:rsid w:val="00BF1ED6"/>
    <w:rsid w:val="00C32840"/>
    <w:rsid w:val="00C34436"/>
    <w:rsid w:val="00C52B94"/>
    <w:rsid w:val="00C63FBA"/>
    <w:rsid w:val="00C660ED"/>
    <w:rsid w:val="00C83D91"/>
    <w:rsid w:val="00C94C6B"/>
    <w:rsid w:val="00CA3E61"/>
    <w:rsid w:val="00CB277C"/>
    <w:rsid w:val="00CC175F"/>
    <w:rsid w:val="00CC3E8F"/>
    <w:rsid w:val="00CD4AD4"/>
    <w:rsid w:val="00CE2199"/>
    <w:rsid w:val="00CE7606"/>
    <w:rsid w:val="00D06C18"/>
    <w:rsid w:val="00D11E7E"/>
    <w:rsid w:val="00D13DDE"/>
    <w:rsid w:val="00D218B8"/>
    <w:rsid w:val="00D2555F"/>
    <w:rsid w:val="00D30FC2"/>
    <w:rsid w:val="00D3422D"/>
    <w:rsid w:val="00D4138B"/>
    <w:rsid w:val="00D93790"/>
    <w:rsid w:val="00DA32B8"/>
    <w:rsid w:val="00DA48FF"/>
    <w:rsid w:val="00DA5B43"/>
    <w:rsid w:val="00DA5CF1"/>
    <w:rsid w:val="00DB44DB"/>
    <w:rsid w:val="00DB733A"/>
    <w:rsid w:val="00DD08FB"/>
    <w:rsid w:val="00DD54FD"/>
    <w:rsid w:val="00DE529D"/>
    <w:rsid w:val="00DE7F26"/>
    <w:rsid w:val="00DF594B"/>
    <w:rsid w:val="00E02A80"/>
    <w:rsid w:val="00E22178"/>
    <w:rsid w:val="00E40372"/>
    <w:rsid w:val="00E43223"/>
    <w:rsid w:val="00E57BBB"/>
    <w:rsid w:val="00E629E3"/>
    <w:rsid w:val="00E97965"/>
    <w:rsid w:val="00EA40A6"/>
    <w:rsid w:val="00EC1BBF"/>
    <w:rsid w:val="00EC30EC"/>
    <w:rsid w:val="00ED166C"/>
    <w:rsid w:val="00ED6887"/>
    <w:rsid w:val="00ED719C"/>
    <w:rsid w:val="00F20936"/>
    <w:rsid w:val="00F22336"/>
    <w:rsid w:val="00F22EB2"/>
    <w:rsid w:val="00F33436"/>
    <w:rsid w:val="00F6343A"/>
    <w:rsid w:val="00F7341F"/>
    <w:rsid w:val="00F83B95"/>
    <w:rsid w:val="00F935B2"/>
    <w:rsid w:val="00F95A75"/>
    <w:rsid w:val="00FE571C"/>
    <w:rsid w:val="099C46FD"/>
    <w:rsid w:val="0EFE4C16"/>
    <w:rsid w:val="0F3E663B"/>
    <w:rsid w:val="15232C77"/>
    <w:rsid w:val="15750CA2"/>
    <w:rsid w:val="16940A64"/>
    <w:rsid w:val="187413E0"/>
    <w:rsid w:val="28A405A7"/>
    <w:rsid w:val="29791CC2"/>
    <w:rsid w:val="2F1827AB"/>
    <w:rsid w:val="351F5DF1"/>
    <w:rsid w:val="44771148"/>
    <w:rsid w:val="45DD5C68"/>
    <w:rsid w:val="4C66701A"/>
    <w:rsid w:val="4E371B76"/>
    <w:rsid w:val="538C13D8"/>
    <w:rsid w:val="5E302523"/>
    <w:rsid w:val="5E55115F"/>
    <w:rsid w:val="5EA51454"/>
    <w:rsid w:val="622274F3"/>
    <w:rsid w:val="630C0720"/>
    <w:rsid w:val="634F5E88"/>
    <w:rsid w:val="699B03ED"/>
    <w:rsid w:val="6A8C17B2"/>
    <w:rsid w:val="6AB85DE9"/>
    <w:rsid w:val="77BE7E2B"/>
    <w:rsid w:val="7CFA9D0F"/>
    <w:rsid w:val="7D192445"/>
    <w:rsid w:val="7D3101E3"/>
    <w:rsid w:val="7F06375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 w:cs="Times New Roman"/>
      <w:kern w:val="2"/>
      <w:sz w:val="30"/>
      <w:szCs w:val="24"/>
      <w:lang w:val="en-US" w:eastAsia="zh-CN" w:bidi="ar-SA"/>
    </w:rPr>
  </w:style>
  <w:style w:type="paragraph" w:styleId="3">
    <w:name w:val="heading 1"/>
    <w:basedOn w:val="1"/>
    <w:next w:val="1"/>
    <w:link w:val="36"/>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37"/>
    <w:unhideWhenUsed/>
    <w:qFormat/>
    <w:uiPriority w:val="9"/>
    <w:pPr>
      <w:keepNext/>
      <w:keepLines/>
      <w:spacing w:before="260" w:after="260" w:line="416" w:lineRule="auto"/>
      <w:outlineLvl w:val="1"/>
    </w:pPr>
    <w:rPr>
      <w:rFonts w:asciiTheme="majorHAnsi" w:hAnsiTheme="majorHAnsi" w:eastAsiaTheme="majorEastAsia" w:cstheme="majorBidi"/>
      <w:b/>
      <w:bCs/>
      <w:szCs w:val="32"/>
    </w:rPr>
  </w:style>
  <w:style w:type="paragraph" w:styleId="5">
    <w:name w:val="heading 3"/>
    <w:basedOn w:val="1"/>
    <w:next w:val="1"/>
    <w:link w:val="38"/>
    <w:unhideWhenUsed/>
    <w:qFormat/>
    <w:uiPriority w:val="9"/>
    <w:pPr>
      <w:keepNext/>
      <w:keepLines/>
      <w:spacing w:before="260" w:after="260" w:line="416" w:lineRule="auto"/>
      <w:outlineLvl w:val="2"/>
    </w:pPr>
    <w:rPr>
      <w:b/>
      <w:bCs/>
      <w:szCs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31"/>
    <w:qFormat/>
    <w:uiPriority w:val="0"/>
    <w:pPr>
      <w:widowControl/>
      <w:adjustRightInd w:val="0"/>
      <w:snapToGrid w:val="0"/>
      <w:spacing w:line="360" w:lineRule="auto"/>
    </w:pPr>
    <w:rPr>
      <w:rFonts w:ascii="仿宋_GB2312" w:hAnsi="宋体" w:eastAsia="仿宋_GB2312"/>
      <w:kern w:val="0"/>
      <w:sz w:val="28"/>
    </w:rPr>
  </w:style>
  <w:style w:type="paragraph" w:styleId="6">
    <w:name w:val="annotation text"/>
    <w:basedOn w:val="1"/>
    <w:link w:val="27"/>
    <w:qFormat/>
    <w:uiPriority w:val="0"/>
    <w:pPr>
      <w:jc w:val="left"/>
    </w:pPr>
  </w:style>
  <w:style w:type="paragraph" w:styleId="7">
    <w:name w:val="Salutation"/>
    <w:basedOn w:val="1"/>
    <w:next w:val="1"/>
    <w:link w:val="52"/>
    <w:qFormat/>
    <w:uiPriority w:val="0"/>
    <w:rPr>
      <w:rFonts w:eastAsia="仿宋_GB2312"/>
      <w:b/>
      <w:sz w:val="36"/>
    </w:rPr>
  </w:style>
  <w:style w:type="paragraph" w:styleId="8">
    <w:name w:val="Body Text Indent"/>
    <w:basedOn w:val="1"/>
    <w:link w:val="39"/>
    <w:qFormat/>
    <w:uiPriority w:val="0"/>
    <w:pPr>
      <w:spacing w:after="120"/>
      <w:ind w:left="200" w:leftChars="200"/>
    </w:pPr>
    <w:rPr>
      <w:rFonts w:ascii="仿宋_GB2312"/>
      <w:szCs w:val="32"/>
    </w:rPr>
  </w:style>
  <w:style w:type="paragraph" w:styleId="9">
    <w:name w:val="toc 3"/>
    <w:basedOn w:val="1"/>
    <w:next w:val="1"/>
    <w:unhideWhenUsed/>
    <w:qFormat/>
    <w:uiPriority w:val="39"/>
    <w:pPr>
      <w:tabs>
        <w:tab w:val="right" w:leader="dot" w:pos="8296"/>
      </w:tabs>
      <w:ind w:left="840" w:leftChars="400"/>
    </w:pPr>
  </w:style>
  <w:style w:type="paragraph" w:styleId="10">
    <w:name w:val="Balloon Text"/>
    <w:basedOn w:val="1"/>
    <w:link w:val="34"/>
    <w:qFormat/>
    <w:uiPriority w:val="0"/>
    <w:rPr>
      <w:sz w:val="18"/>
      <w:szCs w:val="18"/>
    </w:rPr>
  </w:style>
  <w:style w:type="paragraph" w:styleId="11">
    <w:name w:val="footer"/>
    <w:basedOn w:val="1"/>
    <w:link w:val="26"/>
    <w:qFormat/>
    <w:uiPriority w:val="0"/>
    <w:pPr>
      <w:tabs>
        <w:tab w:val="center" w:pos="4153"/>
        <w:tab w:val="right" w:pos="8306"/>
      </w:tabs>
      <w:snapToGrid w:val="0"/>
      <w:jc w:val="left"/>
    </w:pPr>
    <w:rPr>
      <w:sz w:val="18"/>
      <w:szCs w:val="18"/>
    </w:rPr>
  </w:style>
  <w:style w:type="paragraph" w:styleId="12">
    <w:name w:val="header"/>
    <w:basedOn w:val="1"/>
    <w:link w:val="25"/>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unhideWhenUsed/>
    <w:qFormat/>
    <w:uiPriority w:val="39"/>
    <w:pPr>
      <w:tabs>
        <w:tab w:val="right" w:leader="dot" w:pos="8296"/>
      </w:tabs>
      <w:spacing w:before="93"/>
      <w:jc w:val="center"/>
    </w:pPr>
    <w:rPr>
      <w:rFonts w:ascii="仿宋" w:hAnsi="仿宋"/>
      <w:sz w:val="28"/>
      <w:szCs w:val="28"/>
    </w:rPr>
  </w:style>
  <w:style w:type="paragraph" w:styleId="14">
    <w:name w:val="toc 2"/>
    <w:basedOn w:val="1"/>
    <w:next w:val="1"/>
    <w:unhideWhenUsed/>
    <w:qFormat/>
    <w:uiPriority w:val="39"/>
    <w:pPr>
      <w:tabs>
        <w:tab w:val="right" w:leader="dot" w:pos="8296"/>
      </w:tabs>
      <w:ind w:left="420" w:leftChars="200"/>
    </w:pPr>
  </w:style>
  <w:style w:type="paragraph" w:styleId="15">
    <w:name w:val="Normal (Web)"/>
    <w:basedOn w:val="1"/>
    <w:qFormat/>
    <w:uiPriority w:val="0"/>
    <w:pPr>
      <w:spacing w:before="100" w:beforeAutospacing="1" w:after="100" w:afterAutospacing="1"/>
      <w:jc w:val="left"/>
    </w:pPr>
    <w:rPr>
      <w:kern w:val="0"/>
      <w:sz w:val="24"/>
    </w:rPr>
  </w:style>
  <w:style w:type="paragraph" w:styleId="16">
    <w:name w:val="annotation subject"/>
    <w:basedOn w:val="6"/>
    <w:next w:val="6"/>
    <w:link w:val="32"/>
    <w:qFormat/>
    <w:uiPriority w:val="0"/>
    <w:rPr>
      <w:b/>
      <w:bCs/>
    </w:rPr>
  </w:style>
  <w:style w:type="paragraph" w:styleId="17">
    <w:name w:val="Body Text First Indent 2"/>
    <w:basedOn w:val="8"/>
    <w:link w:val="40"/>
    <w:unhideWhenUsed/>
    <w:qFormat/>
    <w:uiPriority w:val="99"/>
    <w:pPr>
      <w:ind w:firstLine="420" w:firstLineChars="200"/>
    </w:p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uiPriority w:val="99"/>
    <w:rPr>
      <w:b/>
    </w:rPr>
  </w:style>
  <w:style w:type="character" w:styleId="22">
    <w:name w:val="Hyperlink"/>
    <w:basedOn w:val="20"/>
    <w:unhideWhenUsed/>
    <w:qFormat/>
    <w:uiPriority w:val="99"/>
    <w:rPr>
      <w:color w:val="0000FF" w:themeColor="hyperlink"/>
      <w:u w:val="single"/>
    </w:rPr>
  </w:style>
  <w:style w:type="character" w:styleId="23">
    <w:name w:val="annotation reference"/>
    <w:qFormat/>
    <w:uiPriority w:val="0"/>
    <w:rPr>
      <w:sz w:val="21"/>
      <w:szCs w:val="21"/>
    </w:rPr>
  </w:style>
  <w:style w:type="character" w:customStyle="1" w:styleId="24">
    <w:name w:val="页眉 Char"/>
    <w:basedOn w:val="20"/>
    <w:link w:val="12"/>
    <w:qFormat/>
    <w:uiPriority w:val="0"/>
    <w:rPr>
      <w:rFonts w:cs="Calibri"/>
      <w:kern w:val="2"/>
      <w:sz w:val="18"/>
      <w:szCs w:val="18"/>
    </w:rPr>
  </w:style>
  <w:style w:type="character" w:customStyle="1" w:styleId="25">
    <w:name w:val="页眉 Char1"/>
    <w:link w:val="12"/>
    <w:qFormat/>
    <w:uiPriority w:val="0"/>
    <w:rPr>
      <w:rFonts w:cs="Calibri"/>
      <w:kern w:val="2"/>
      <w:sz w:val="18"/>
      <w:szCs w:val="18"/>
    </w:rPr>
  </w:style>
  <w:style w:type="character" w:customStyle="1" w:styleId="26">
    <w:name w:val="页脚 Char"/>
    <w:basedOn w:val="20"/>
    <w:link w:val="11"/>
    <w:qFormat/>
    <w:uiPriority w:val="99"/>
    <w:rPr>
      <w:kern w:val="2"/>
      <w:sz w:val="18"/>
      <w:szCs w:val="18"/>
    </w:rPr>
  </w:style>
  <w:style w:type="character" w:customStyle="1" w:styleId="27">
    <w:name w:val="批注文字 Char"/>
    <w:basedOn w:val="20"/>
    <w:link w:val="6"/>
    <w:qFormat/>
    <w:uiPriority w:val="0"/>
    <w:rPr>
      <w:kern w:val="2"/>
      <w:sz w:val="21"/>
      <w:szCs w:val="24"/>
    </w:rPr>
  </w:style>
  <w:style w:type="character" w:customStyle="1" w:styleId="28">
    <w:name w:val="批注文字 字符"/>
    <w:qFormat/>
    <w:uiPriority w:val="0"/>
    <w:rPr>
      <w:kern w:val="2"/>
      <w:sz w:val="21"/>
      <w:szCs w:val="24"/>
    </w:rPr>
  </w:style>
  <w:style w:type="character" w:customStyle="1" w:styleId="29">
    <w:name w:val="页眉 字符"/>
    <w:qFormat/>
    <w:uiPriority w:val="0"/>
    <w:rPr>
      <w:kern w:val="2"/>
      <w:sz w:val="18"/>
      <w:szCs w:val="18"/>
    </w:rPr>
  </w:style>
  <w:style w:type="character" w:customStyle="1" w:styleId="30">
    <w:name w:val="页脚 字符"/>
    <w:qFormat/>
    <w:uiPriority w:val="99"/>
    <w:rPr>
      <w:kern w:val="2"/>
      <w:sz w:val="18"/>
      <w:szCs w:val="18"/>
    </w:rPr>
  </w:style>
  <w:style w:type="character" w:customStyle="1" w:styleId="31">
    <w:name w:val="正文文本 Char"/>
    <w:basedOn w:val="20"/>
    <w:link w:val="2"/>
    <w:qFormat/>
    <w:uiPriority w:val="0"/>
    <w:rPr>
      <w:rFonts w:ascii="仿宋_GB2312" w:hAnsi="宋体" w:eastAsia="仿宋_GB2312"/>
      <w:sz w:val="28"/>
      <w:szCs w:val="24"/>
    </w:rPr>
  </w:style>
  <w:style w:type="character" w:customStyle="1" w:styleId="32">
    <w:name w:val="批注主题 Char"/>
    <w:basedOn w:val="27"/>
    <w:link w:val="16"/>
    <w:qFormat/>
    <w:uiPriority w:val="0"/>
    <w:rPr>
      <w:b/>
      <w:bCs/>
    </w:rPr>
  </w:style>
  <w:style w:type="character" w:customStyle="1" w:styleId="33">
    <w:name w:val="批注主题 字符"/>
    <w:qFormat/>
    <w:uiPriority w:val="0"/>
    <w:rPr>
      <w:b/>
      <w:bCs/>
      <w:kern w:val="2"/>
      <w:sz w:val="21"/>
      <w:szCs w:val="24"/>
    </w:rPr>
  </w:style>
  <w:style w:type="character" w:customStyle="1" w:styleId="34">
    <w:name w:val="批注框文本 Char"/>
    <w:basedOn w:val="20"/>
    <w:link w:val="10"/>
    <w:qFormat/>
    <w:uiPriority w:val="0"/>
    <w:rPr>
      <w:kern w:val="2"/>
      <w:sz w:val="18"/>
      <w:szCs w:val="18"/>
    </w:rPr>
  </w:style>
  <w:style w:type="character" w:customStyle="1" w:styleId="35">
    <w:name w:val="批注框文本 字符"/>
    <w:qFormat/>
    <w:uiPriority w:val="0"/>
    <w:rPr>
      <w:kern w:val="2"/>
      <w:sz w:val="18"/>
      <w:szCs w:val="18"/>
    </w:rPr>
  </w:style>
  <w:style w:type="character" w:customStyle="1" w:styleId="36">
    <w:name w:val="标题 1 Char"/>
    <w:basedOn w:val="20"/>
    <w:link w:val="3"/>
    <w:qFormat/>
    <w:uiPriority w:val="9"/>
    <w:rPr>
      <w:rFonts w:eastAsia="仿宋"/>
      <w:b/>
      <w:bCs/>
      <w:kern w:val="44"/>
      <w:sz w:val="44"/>
      <w:szCs w:val="44"/>
    </w:rPr>
  </w:style>
  <w:style w:type="character" w:customStyle="1" w:styleId="37">
    <w:name w:val="标题 2 Char"/>
    <w:basedOn w:val="20"/>
    <w:link w:val="4"/>
    <w:qFormat/>
    <w:uiPriority w:val="9"/>
    <w:rPr>
      <w:rFonts w:asciiTheme="majorHAnsi" w:hAnsiTheme="majorHAnsi" w:eastAsiaTheme="majorEastAsia" w:cstheme="majorBidi"/>
      <w:b/>
      <w:bCs/>
      <w:kern w:val="2"/>
      <w:sz w:val="32"/>
      <w:szCs w:val="32"/>
    </w:rPr>
  </w:style>
  <w:style w:type="character" w:customStyle="1" w:styleId="38">
    <w:name w:val="标题 3 Char"/>
    <w:basedOn w:val="20"/>
    <w:link w:val="5"/>
    <w:qFormat/>
    <w:uiPriority w:val="9"/>
    <w:rPr>
      <w:rFonts w:eastAsia="仿宋"/>
      <w:b/>
      <w:bCs/>
      <w:kern w:val="2"/>
      <w:sz w:val="32"/>
      <w:szCs w:val="32"/>
    </w:rPr>
  </w:style>
  <w:style w:type="character" w:customStyle="1" w:styleId="39">
    <w:name w:val="正文文本缩进 Char"/>
    <w:basedOn w:val="20"/>
    <w:link w:val="8"/>
    <w:qFormat/>
    <w:uiPriority w:val="0"/>
    <w:rPr>
      <w:rFonts w:ascii="仿宋_GB2312" w:eastAsia="仿宋"/>
      <w:kern w:val="2"/>
      <w:sz w:val="32"/>
      <w:szCs w:val="32"/>
    </w:rPr>
  </w:style>
  <w:style w:type="character" w:customStyle="1" w:styleId="40">
    <w:name w:val="正文首行缩进 2 Char"/>
    <w:basedOn w:val="39"/>
    <w:link w:val="17"/>
    <w:qFormat/>
    <w:uiPriority w:val="99"/>
  </w:style>
  <w:style w:type="paragraph" w:customStyle="1" w:styleId="41">
    <w:name w:val="标题 5（有编号）（绿盟科技）"/>
    <w:next w:val="1"/>
    <w:qFormat/>
    <w:uiPriority w:val="99"/>
    <w:pPr>
      <w:keepNext/>
      <w:keepLines/>
      <w:widowControl w:val="0"/>
      <w:spacing w:before="280" w:after="156" w:line="377" w:lineRule="auto"/>
      <w:outlineLvl w:val="4"/>
    </w:pPr>
    <w:rPr>
      <w:rFonts w:ascii="Arial" w:hAnsi="Arial" w:eastAsia="黑体" w:cs="Times New Roman"/>
      <w:b/>
      <w:kern w:val="2"/>
      <w:sz w:val="24"/>
      <w:szCs w:val="28"/>
      <w:lang w:val="en-US" w:eastAsia="zh-CN" w:bidi="ar-SA"/>
    </w:rPr>
  </w:style>
  <w:style w:type="character" w:customStyle="1" w:styleId="42">
    <w:name w:val="Header Char"/>
    <w:basedOn w:val="20"/>
    <w:semiHidden/>
    <w:qFormat/>
    <w:uiPriority w:val="99"/>
    <w:rPr>
      <w:rFonts w:ascii="Times New Roman" w:hAnsi="Times New Roman"/>
      <w:sz w:val="18"/>
      <w:szCs w:val="18"/>
    </w:rPr>
  </w:style>
  <w:style w:type="character" w:customStyle="1" w:styleId="43">
    <w:name w:val="Footer Char"/>
    <w:basedOn w:val="20"/>
    <w:semiHidden/>
    <w:qFormat/>
    <w:uiPriority w:val="99"/>
    <w:rPr>
      <w:rFonts w:ascii="Times New Roman" w:hAnsi="Times New Roman"/>
      <w:sz w:val="18"/>
      <w:szCs w:val="18"/>
    </w:rPr>
  </w:style>
  <w:style w:type="character" w:customStyle="1" w:styleId="44">
    <w:name w:val="Body Text Char"/>
    <w:basedOn w:val="20"/>
    <w:semiHidden/>
    <w:qFormat/>
    <w:uiPriority w:val="99"/>
    <w:rPr>
      <w:rFonts w:ascii="Times New Roman" w:hAnsi="Times New Roman"/>
      <w:szCs w:val="24"/>
    </w:rPr>
  </w:style>
  <w:style w:type="paragraph" w:customStyle="1" w:styleId="45">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46">
    <w:name w:val="List Paragraph"/>
    <w:basedOn w:val="1"/>
    <w:qFormat/>
    <w:uiPriority w:val="34"/>
    <w:pPr>
      <w:ind w:firstLine="420" w:firstLineChars="200"/>
    </w:pPr>
  </w:style>
  <w:style w:type="paragraph" w:customStyle="1" w:styleId="47">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paragraph" w:customStyle="1" w:styleId="48">
    <w:name w:val="TOC 标题2"/>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paragraph" w:customStyle="1" w:styleId="49">
    <w:name w:val="四号正文"/>
    <w:basedOn w:val="1"/>
    <w:qFormat/>
    <w:uiPriority w:val="0"/>
    <w:pPr>
      <w:spacing w:line="360" w:lineRule="auto"/>
    </w:pPr>
    <w:rPr>
      <w:rFonts w:ascii="??" w:hAnsi="??"/>
      <w:color w:val="000000"/>
      <w:kern w:val="0"/>
      <w:sz w:val="28"/>
      <w:szCs w:val="21"/>
      <w:lang w:val="zh-CN"/>
    </w:rPr>
  </w:style>
  <w:style w:type="paragraph" w:customStyle="1" w:styleId="50">
    <w:name w:val="TOC 标题3"/>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51">
    <w:name w:val="NormalCharacter"/>
    <w:semiHidden/>
    <w:qFormat/>
    <w:uiPriority w:val="0"/>
  </w:style>
  <w:style w:type="character" w:customStyle="1" w:styleId="52">
    <w:name w:val="称呼 Char"/>
    <w:basedOn w:val="20"/>
    <w:link w:val="7"/>
    <w:qFormat/>
    <w:uiPriority w:val="0"/>
    <w:rPr>
      <w:rFonts w:eastAsia="仿宋_GB2312"/>
      <w:b/>
      <w:kern w:val="2"/>
      <w:sz w:val="36"/>
      <w:szCs w:val="24"/>
    </w:rPr>
  </w:style>
  <w:style w:type="paragraph" w:customStyle="1" w:styleId="53">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54">
    <w:name w:val="样式1"/>
    <w:basedOn w:val="3"/>
    <w:qFormat/>
    <w:uiPriority w:val="0"/>
    <w:rPr>
      <w:sz w:val="32"/>
    </w:rPr>
  </w:style>
  <w:style w:type="paragraph" w:customStyle="1" w:styleId="55">
    <w:name w:val="HtmlPre"/>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textAlignment w:val="baseline"/>
    </w:pPr>
    <w:rPr>
      <w:rFonts w:ascii="宋体" w:hAnsi="宋体" w:eastAsia="仿宋_GB2312"/>
      <w:kern w:val="0"/>
      <w:sz w:val="24"/>
    </w:rPr>
  </w:style>
</w:styles>
</file>

<file path=word/_rels/document.xml.rels><?xml version="1.0" encoding="UTF-8" standalone="yes"?>
<Relationships xmlns="http://schemas.openxmlformats.org/package/2006/relationships"><Relationship Id="rId9" Type="http://schemas.openxmlformats.org/officeDocument/2006/relationships/chart" Target="charts/chart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jpeg"/><Relationship Id="rId15" Type="http://schemas.openxmlformats.org/officeDocument/2006/relationships/chart" Target="charts/chart7.xml"/><Relationship Id="rId14" Type="http://schemas.openxmlformats.org/officeDocument/2006/relationships/chart" Target="charts/chart6.xml"/><Relationship Id="rId13" Type="http://schemas.openxmlformats.org/officeDocument/2006/relationships/chart" Target="charts/chart5.xml"/><Relationship Id="rId12" Type="http://schemas.openxmlformats.org/officeDocument/2006/relationships/chart" Target="charts/chart4.xml"/><Relationship Id="rId11" Type="http://schemas.openxmlformats.org/officeDocument/2006/relationships/chart" Target="charts/chart3.xml"/><Relationship Id="rId10" Type="http://schemas.openxmlformats.org/officeDocument/2006/relationships/chart" Target="charts/chart2.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Book1"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oleObject" Target="file:///C:\Users\Administrator\Desktop\2022&#24180;&#37096;&#38376;&#20915;&#31639;&#20844;&#24320;\2022&#24180;&#20915;&#31639;&#22270;&#34920;.xlsx"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C:\Users\Administrator\Desktop\2022&#24180;&#37096;&#38376;&#20915;&#31639;&#20844;&#24320;\2022&#24180;&#20915;&#31639;&#22270;&#34920;.xlsx" TargetMode="Externa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7.xml"/><Relationship Id="rId1" Type="http://schemas.openxmlformats.org/officeDocument/2006/relationships/oleObject" Target="file:///C:\Users\Administrator\Desktop\2022&#24180;&#37096;&#38376;&#20915;&#31639;&#20844;&#24320;\2022&#24180;&#20915;&#31639;&#22270;&#34920;.xlsx" TargetMode="External"/></Relationships>
</file>

<file path=word/charts/_rels/chart5.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C:\Users\Administrator\Desktop\2022&#24180;&#37096;&#38376;&#20915;&#31639;&#20844;&#24320;\2022&#24180;&#20915;&#31639;&#22270;&#34920;.xlsx" TargetMode="External"/></Relationships>
</file>

<file path=word/charts/_rels/chart6.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C:\Users\Administrator\Desktop\2022&#24180;&#37096;&#38376;&#20915;&#31639;&#20844;&#24320;\2022&#24180;&#20915;&#31639;&#22270;&#34920;.xlsx" TargetMode="External"/></Relationships>
</file>

<file path=word/charts/_rels/chart7.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Administrator\Desktop\2022&#24180;&#37096;&#38376;&#20915;&#31639;&#20844;&#24320;\2022&#24180;&#20915;&#31639;&#22270;&#3492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2849518810147"/>
          <c:y val="0.0210250462878187"/>
          <c:w val="0.528082458442695"/>
          <c:h val="0.847103026850326"/>
        </c:manualLayout>
      </c:layout>
      <c:barChart>
        <c:barDir val="col"/>
        <c:grouping val="clustered"/>
        <c:varyColors val="0"/>
        <c:ser>
          <c:idx val="0"/>
          <c:order val="0"/>
          <c:tx>
            <c:strRef>
              <c:f>Sheet1!$A$1</c:f>
              <c:strCache>
                <c:ptCount val="1"/>
                <c:pt idx="0">
                  <c:v>2021年度收、支总计</c:v>
                </c:pt>
              </c:strCache>
            </c:strRef>
          </c:tx>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{"收、支总计"}</c:f>
              <c:strCache>
                <c:ptCount val="1"/>
                <c:pt idx="0">
                  <c:v>收、支总计</c:v>
                </c:pt>
              </c:strCache>
            </c:strRef>
          </c:cat>
          <c:val>
            <c:numRef>
              <c:f>Sheet1!$B$1</c:f>
              <c:numCache>
                <c:formatCode>General</c:formatCode>
                <c:ptCount val="1"/>
                <c:pt idx="0">
                  <c:v>10363.71</c:v>
                </c:pt>
              </c:numCache>
            </c:numRef>
          </c:val>
        </c:ser>
        <c:ser>
          <c:idx val="1"/>
          <c:order val="1"/>
          <c:tx>
            <c:strRef>
              <c:f>Sheet1!$A$2</c:f>
              <c:strCache>
                <c:ptCount val="1"/>
                <c:pt idx="0">
                  <c:v>2022年度收、支总计</c:v>
                </c:pt>
              </c:strCache>
            </c:strRef>
          </c:tx>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{"收、支总计"}</c:f>
              <c:strCache>
                <c:ptCount val="1"/>
                <c:pt idx="0">
                  <c:v>收、支总计</c:v>
                </c:pt>
              </c:strCache>
            </c:strRef>
          </c:cat>
          <c:val>
            <c:numRef>
              <c:f>Sheet1!$B$2</c:f>
              <c:numCache>
                <c:formatCode>General</c:formatCode>
                <c:ptCount val="1"/>
                <c:pt idx="0">
                  <c:v>9121.43</c:v>
                </c:pt>
              </c:numCache>
            </c:numRef>
          </c:val>
        </c:ser>
        <c:dLbls>
          <c:showLegendKey val="0"/>
          <c:showVal val="1"/>
          <c:showCatName val="0"/>
          <c:showSerName val="0"/>
          <c:showPercent val="0"/>
          <c:showBubbleSize val="0"/>
        </c:dLbls>
        <c:gapWidth val="150"/>
        <c:axId val="105900288"/>
        <c:axId val="108273664"/>
      </c:barChart>
      <c:catAx>
        <c:axId val="105900288"/>
        <c:scaling>
          <c:orientation val="minMax"/>
        </c:scaling>
        <c:delete val="0"/>
        <c:axPos val="b"/>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08273664"/>
        <c:crosses val="autoZero"/>
        <c:auto val="1"/>
        <c:lblAlgn val="ctr"/>
        <c:lblOffset val="100"/>
        <c:noMultiLvlLbl val="0"/>
      </c:catAx>
      <c:valAx>
        <c:axId val="108273664"/>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05900288"/>
        <c:crosses val="autoZero"/>
        <c:crossBetween val="between"/>
      </c:valAx>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explosion val="0"/>
          <c:dPt>
            <c:idx val="0"/>
            <c:bubble3D val="0"/>
          </c:dPt>
          <c:dPt>
            <c:idx val="1"/>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Sheet2!$A$1:$A$2</c:f>
              <c:strCache>
                <c:ptCount val="2"/>
                <c:pt idx="0">
                  <c:v>一般公共预算财政拨款收入</c:v>
                </c:pt>
                <c:pt idx="1">
                  <c:v>政府性基金预算财政拨款收入</c:v>
                </c:pt>
              </c:strCache>
            </c:strRef>
          </c:cat>
          <c:val>
            <c:numRef>
              <c:f>Sheet2!$B$1:$B$2</c:f>
              <c:numCache>
                <c:formatCode>General</c:formatCode>
                <c:ptCount val="2"/>
                <c:pt idx="0">
                  <c:v>7921.8</c:v>
                </c:pt>
                <c:pt idx="1">
                  <c:v>1047.55</c:v>
                </c:pt>
              </c:numCache>
            </c:numRef>
          </c:val>
        </c:ser>
        <c:dLbls>
          <c:showLegendKey val="0"/>
          <c:showVal val="1"/>
          <c:showCatName val="0"/>
          <c:showSerName val="0"/>
          <c:showPercent val="0"/>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explosion val="0"/>
          <c:dPt>
            <c:idx val="0"/>
            <c:bubble3D val="0"/>
          </c:dPt>
          <c:dPt>
            <c:idx val="1"/>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Sheet3!$A$1:$A$2</c:f>
              <c:strCache>
                <c:ptCount val="2"/>
                <c:pt idx="0">
                  <c:v>基本支出</c:v>
                </c:pt>
                <c:pt idx="1">
                  <c:v>项目支出</c:v>
                </c:pt>
              </c:strCache>
            </c:strRef>
          </c:cat>
          <c:val>
            <c:numRef>
              <c:f>Sheet3!$B$1:$B$2</c:f>
              <c:numCache>
                <c:formatCode>General</c:formatCode>
                <c:ptCount val="2"/>
                <c:pt idx="0">
                  <c:v>2961.7</c:v>
                </c:pt>
                <c:pt idx="1">
                  <c:v>6159.73</c:v>
                </c:pt>
              </c:numCache>
            </c:numRef>
          </c:val>
        </c:ser>
        <c:dLbls>
          <c:showLegendKey val="0"/>
          <c:showVal val="1"/>
          <c:showCatName val="0"/>
          <c:showSerName val="0"/>
          <c:showPercent val="0"/>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Sheet4!$A$1</c:f>
              <c:strCache>
                <c:ptCount val="1"/>
                <c:pt idx="0">
                  <c:v>2022年财政拨款收、支总计</c:v>
                </c:pt>
              </c:strCache>
            </c:strRef>
          </c:tx>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{"财政拨款收、支总计"}</c:f>
              <c:strCache>
                <c:ptCount val="1"/>
                <c:pt idx="0">
                  <c:v>财政拨款收、支总计</c:v>
                </c:pt>
              </c:strCache>
            </c:strRef>
          </c:cat>
          <c:val>
            <c:numRef>
              <c:f>Sheet4!$B$1</c:f>
              <c:numCache>
                <c:formatCode>General</c:formatCode>
                <c:ptCount val="1"/>
                <c:pt idx="0">
                  <c:v>10363.71</c:v>
                </c:pt>
              </c:numCache>
            </c:numRef>
          </c:val>
        </c:ser>
        <c:ser>
          <c:idx val="1"/>
          <c:order val="1"/>
          <c:tx>
            <c:strRef>
              <c:f>Sheet4!$A$2</c:f>
              <c:strCache>
                <c:ptCount val="1"/>
                <c:pt idx="0">
                  <c:v>2021年财政拨款收、支总计</c:v>
                </c:pt>
              </c:strCache>
            </c:strRef>
          </c:tx>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{"财政拨款收、支总计"}</c:f>
              <c:strCache>
                <c:ptCount val="1"/>
                <c:pt idx="0">
                  <c:v>财政拨款收、支总计</c:v>
                </c:pt>
              </c:strCache>
            </c:strRef>
          </c:cat>
          <c:val>
            <c:numRef>
              <c:f>Sheet4!$B$2</c:f>
              <c:numCache>
                <c:formatCode>General</c:formatCode>
                <c:ptCount val="1"/>
                <c:pt idx="0">
                  <c:v>9121.43</c:v>
                </c:pt>
              </c:numCache>
            </c:numRef>
          </c:val>
        </c:ser>
        <c:dLbls>
          <c:showLegendKey val="0"/>
          <c:showVal val="1"/>
          <c:showCatName val="0"/>
          <c:showSerName val="0"/>
          <c:showPercent val="0"/>
          <c:showBubbleSize val="0"/>
        </c:dLbls>
        <c:gapWidth val="150"/>
        <c:axId val="99284096"/>
        <c:axId val="99285632"/>
      </c:barChart>
      <c:catAx>
        <c:axId val="99284096"/>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99285632"/>
        <c:crosses val="autoZero"/>
        <c:auto val="1"/>
        <c:lblAlgn val="ctr"/>
        <c:lblOffset val="100"/>
        <c:noMultiLvlLbl val="0"/>
      </c:catAx>
      <c:valAx>
        <c:axId val="99285632"/>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99284096"/>
        <c:crosses val="autoZero"/>
        <c:crossBetween val="between"/>
      </c:valAx>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userShapes r:id="rId2"/>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Sheet5!$A$1</c:f>
              <c:strCache>
                <c:ptCount val="1"/>
                <c:pt idx="0">
                  <c:v>2021年一般公共预算财政拨款收入</c:v>
                </c:pt>
              </c:strCache>
            </c:strRef>
          </c:tx>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{"一般公共预算拨款收入"}</c:f>
              <c:strCache>
                <c:ptCount val="1"/>
                <c:pt idx="0">
                  <c:v>一般公共预算拨款收入</c:v>
                </c:pt>
              </c:strCache>
            </c:strRef>
          </c:cat>
          <c:val>
            <c:numRef>
              <c:f>Sheet5!$B$1</c:f>
              <c:numCache>
                <c:formatCode>General</c:formatCode>
                <c:ptCount val="1"/>
                <c:pt idx="0">
                  <c:v>8904.18</c:v>
                </c:pt>
              </c:numCache>
            </c:numRef>
          </c:val>
        </c:ser>
        <c:ser>
          <c:idx val="1"/>
          <c:order val="1"/>
          <c:tx>
            <c:strRef>
              <c:f>Sheet5!$A$2</c:f>
              <c:strCache>
                <c:ptCount val="1"/>
                <c:pt idx="0">
                  <c:v>2022年一般公共预算财政拨款收入</c:v>
                </c:pt>
              </c:strCache>
            </c:strRef>
          </c:tx>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{"一般公共预算拨款收入"}</c:f>
              <c:strCache>
                <c:ptCount val="1"/>
                <c:pt idx="0">
                  <c:v>一般公共预算拨款收入</c:v>
                </c:pt>
              </c:strCache>
            </c:strRef>
          </c:cat>
          <c:val>
            <c:numRef>
              <c:f>Sheet5!$B$2</c:f>
              <c:numCache>
                <c:formatCode>General</c:formatCode>
                <c:ptCount val="1"/>
                <c:pt idx="0">
                  <c:v>8073.88</c:v>
                </c:pt>
              </c:numCache>
            </c:numRef>
          </c:val>
        </c:ser>
        <c:dLbls>
          <c:showLegendKey val="0"/>
          <c:showVal val="1"/>
          <c:showCatName val="0"/>
          <c:showSerName val="0"/>
          <c:showPercent val="0"/>
          <c:showBubbleSize val="0"/>
        </c:dLbls>
        <c:gapWidth val="150"/>
        <c:axId val="108490112"/>
        <c:axId val="108500096"/>
      </c:barChart>
      <c:catAx>
        <c:axId val="108490112"/>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08500096"/>
        <c:crosses val="autoZero"/>
        <c:auto val="1"/>
        <c:lblAlgn val="ctr"/>
        <c:lblOffset val="100"/>
        <c:noMultiLvlLbl val="0"/>
      </c:catAx>
      <c:valAx>
        <c:axId val="108500096"/>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08490112"/>
        <c:crosses val="autoZero"/>
        <c:crossBetween val="between"/>
      </c:valAx>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userShapes r:id="rId2"/>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explosion val="0"/>
          <c:dPt>
            <c:idx val="0"/>
            <c:bubble3D val="0"/>
          </c:dPt>
          <c:dPt>
            <c:idx val="1"/>
            <c:bubble3D val="0"/>
          </c:dPt>
          <c:dPt>
            <c:idx val="2"/>
            <c:bubble3D val="0"/>
          </c:dPt>
          <c:dPt>
            <c:idx val="3"/>
            <c:bubble3D val="0"/>
          </c:dPt>
          <c:dPt>
            <c:idx val="4"/>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Sheet6!$A$1:$A$5</c:f>
              <c:strCache>
                <c:ptCount val="5"/>
                <c:pt idx="0">
                  <c:v>社会保障和就业支出</c:v>
                </c:pt>
                <c:pt idx="1">
                  <c:v>卫生健康支出</c:v>
                </c:pt>
                <c:pt idx="2">
                  <c:v>农林水支出</c:v>
                </c:pt>
                <c:pt idx="3">
                  <c:v>自然资源海洋气象等支出</c:v>
                </c:pt>
                <c:pt idx="4">
                  <c:v>灾害防治及应急管理支出</c:v>
                </c:pt>
              </c:strCache>
            </c:strRef>
          </c:cat>
          <c:val>
            <c:numRef>
              <c:f>Sheet6!$B$1:$B$5</c:f>
              <c:numCache>
                <c:formatCode>0.00_);[Red]\(0.00\)</c:formatCode>
                <c:ptCount val="5"/>
                <c:pt idx="0">
                  <c:v>131.567466000001</c:v>
                </c:pt>
                <c:pt idx="1">
                  <c:v>37.642562</c:v>
                </c:pt>
                <c:pt idx="2">
                  <c:v>4350.92294400002</c:v>
                </c:pt>
                <c:pt idx="3">
                  <c:v>3093.87215600006</c:v>
                </c:pt>
                <c:pt idx="4">
                  <c:v>459.877218</c:v>
                </c:pt>
              </c:numCache>
            </c:numRef>
          </c:val>
        </c:ser>
        <c:dLbls>
          <c:showLegendKey val="0"/>
          <c:showVal val="1"/>
          <c:showCatName val="0"/>
          <c:showSerName val="0"/>
          <c:showPercent val="0"/>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userShapes r:id="rId2"/>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explosion val="0"/>
          <c:dPt>
            <c:idx val="0"/>
            <c:bubble3D val="0"/>
          </c:dPt>
          <c:dPt>
            <c:idx val="1"/>
            <c:bubble3D val="0"/>
          </c:dPt>
          <c:dPt>
            <c:idx val="2"/>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1"/>
            <c:showSerName val="0"/>
            <c:showPercent val="1"/>
            <c:showBubbleSize val="0"/>
            <c:showLeaderLines val="1"/>
            <c:extLst>
              <c:ext xmlns:c15="http://schemas.microsoft.com/office/drawing/2012/chart" uri="{CE6537A1-D6FC-4f65-9D91-7224C49458BB}">
                <c15:layout/>
                <c15:showLeaderLines val="1"/>
                <c15:leaderLines/>
              </c:ext>
            </c:extLst>
          </c:dLbls>
          <c:cat>
            <c:strRef>
              <c:f>Sheet7!$A$1:$A$3</c:f>
              <c:strCache>
                <c:ptCount val="3"/>
                <c:pt idx="0">
                  <c:v>因公出国（境）费支出</c:v>
                </c:pt>
                <c:pt idx="1">
                  <c:v>公务用车购置及运行维护费</c:v>
                </c:pt>
                <c:pt idx="2">
                  <c:v>公务接待费</c:v>
                </c:pt>
              </c:strCache>
            </c:strRef>
          </c:cat>
          <c:val>
            <c:numRef>
              <c:f>Sheet7!$B$1:$B$3</c:f>
              <c:numCache>
                <c:formatCode>General</c:formatCode>
                <c:ptCount val="3"/>
                <c:pt idx="0">
                  <c:v>0</c:v>
                </c:pt>
                <c:pt idx="1">
                  <c:v>79.87</c:v>
                </c:pt>
                <c:pt idx="2">
                  <c:v>10</c:v>
                </c:pt>
              </c:numCache>
            </c:numRef>
          </c:val>
        </c:ser>
        <c:dLbls>
          <c:showLegendKey val="0"/>
          <c:showVal val="1"/>
          <c:showCatName val="1"/>
          <c:showSerName val="0"/>
          <c:showPercent val="1"/>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0.55833</cdr:x>
      <cdr:y>0.88542</cdr:y>
    </cdr:from>
    <cdr:to>
      <cdr:x>0.81875</cdr:x>
      <cdr:y>0.96875</cdr:y>
    </cdr:to>
    <cdr:sp>
      <cdr:nvSpPr>
        <cdr:cNvPr id="2" name="矩形 1"/>
        <cdr:cNvSpPr/>
      </cdr:nvSpPr>
      <cdr:spPr xmlns:a="http://schemas.openxmlformats.org/drawingml/2006/main">
        <a:xfrm xmlns:a="http://schemas.openxmlformats.org/drawingml/2006/main">
          <a:off x="2552699" y="2428875"/>
          <a:ext cx="1190626" cy="228600"/>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r>
            <a:rPr lang="zh-CN" altLang="en-US" sz="900"/>
            <a:t>（单位：万元）</a:t>
          </a:r>
          <a:endParaRPr lang="zh-CN" altLang="en-US" sz="900"/>
        </a:p>
      </cdr:txBody>
    </cdr:sp>
  </cdr:relSizeAnchor>
</c:userShapes>
</file>

<file path=word/drawings/drawing2.xml><?xml version="1.0" encoding="utf-8"?>
<c:userShapes xmlns:c="http://schemas.openxmlformats.org/drawingml/2006/chart">
  <cdr:relSizeAnchor xmlns:cdr="http://schemas.openxmlformats.org/drawingml/2006/chartDrawing">
    <cdr:from>
      <cdr:x>0.18542</cdr:x>
      <cdr:y>0.90705</cdr:y>
    </cdr:from>
    <cdr:to>
      <cdr:x>0.78542</cdr:x>
      <cdr:y>1</cdr:y>
    </cdr:to>
    <cdr:sp>
      <cdr:nvSpPr>
        <cdr:cNvPr id="2" name="矩形 1"/>
        <cdr:cNvSpPr/>
      </cdr:nvSpPr>
      <cdr:spPr xmlns:a="http://schemas.openxmlformats.org/drawingml/2006/main">
        <a:xfrm xmlns:a="http://schemas.openxmlformats.org/drawingml/2006/main">
          <a:off x="847725" y="2695575"/>
          <a:ext cx="2743200" cy="276225"/>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endParaRPr lang="zh-CN" altLang="en-US" sz="1100"/>
        </a:p>
      </cdr:txBody>
    </cdr:sp>
  </cdr:relSizeAnchor>
  <cdr:relSizeAnchor xmlns:cdr="http://schemas.openxmlformats.org/drawingml/2006/chartDrawing">
    <cdr:from>
      <cdr:x>0.15208</cdr:x>
      <cdr:y>0.88141</cdr:y>
    </cdr:from>
    <cdr:to>
      <cdr:x>0.83125</cdr:x>
      <cdr:y>1</cdr:y>
    </cdr:to>
    <cdr:sp>
      <cdr:nvSpPr>
        <cdr:cNvPr id="3" name="矩形 2"/>
        <cdr:cNvSpPr/>
      </cdr:nvSpPr>
      <cdr:spPr xmlns:a="http://schemas.openxmlformats.org/drawingml/2006/main">
        <a:xfrm xmlns:a="http://schemas.openxmlformats.org/drawingml/2006/main">
          <a:off x="695325" y="2619375"/>
          <a:ext cx="3105150" cy="352425"/>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r>
            <a:rPr lang="zh-CN" altLang="en-US" sz="900">
              <a:latin typeface="+mn-lt"/>
              <a:ea typeface="+mn-ea"/>
              <a:cs typeface="+mn-cs"/>
            </a:rPr>
            <a:t>一般公共预算财政拨款支出决算结构   （单位：万元）</a:t>
          </a:r>
          <a:endParaRPr lang="zh-CN" altLang="en-US" sz="900"/>
        </a:p>
      </cdr:txBody>
    </cdr:sp>
  </cdr:relSizeAnchor>
</c:userShapes>
</file>

<file path=word/drawings/drawing3.xml><?xml version="1.0" encoding="utf-8"?>
<c:userShapes xmlns:c="http://schemas.openxmlformats.org/drawingml/2006/chart">
  <cdr:relSizeAnchor xmlns:cdr="http://schemas.openxmlformats.org/drawingml/2006/chartDrawing">
    <cdr:from>
      <cdr:x>0.57292</cdr:x>
      <cdr:y>0.89931</cdr:y>
    </cdr:from>
    <cdr:to>
      <cdr:x>0.84583</cdr:x>
      <cdr:y>0.96875</cdr:y>
    </cdr:to>
    <cdr:sp>
      <cdr:nvSpPr>
        <cdr:cNvPr id="2" name="矩形 1"/>
        <cdr:cNvSpPr/>
      </cdr:nvSpPr>
      <cdr:spPr xmlns:a="http://schemas.openxmlformats.org/drawingml/2006/main">
        <a:xfrm xmlns:a="http://schemas.openxmlformats.org/drawingml/2006/main">
          <a:off x="2619375" y="2466975"/>
          <a:ext cx="1247775" cy="190500"/>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endParaRPr lang="zh-CN" altLang="en-US" sz="1100"/>
        </a:p>
      </cdr:txBody>
    </cdr:sp>
  </cdr:relSizeAnchor>
  <cdr:relSizeAnchor xmlns:cdr="http://schemas.openxmlformats.org/drawingml/2006/chartDrawing">
    <cdr:from>
      <cdr:x>0.57292</cdr:x>
      <cdr:y>0.89931</cdr:y>
    </cdr:from>
    <cdr:to>
      <cdr:x>0.84583</cdr:x>
      <cdr:y>0.96875</cdr:y>
    </cdr:to>
    <cdr:sp>
      <cdr:nvSpPr>
        <cdr:cNvPr id="3" name="矩形 2"/>
        <cdr:cNvSpPr/>
      </cdr:nvSpPr>
      <cdr:spPr xmlns:a="http://schemas.openxmlformats.org/drawingml/2006/main">
        <a:xfrm xmlns:a="http://schemas.openxmlformats.org/drawingml/2006/main">
          <a:off x="2619375" y="2466975"/>
          <a:ext cx="1247775" cy="190500"/>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endParaRPr lang="zh-CN" altLang="en-US" sz="1100"/>
        </a:p>
      </cdr:txBody>
    </cdr:sp>
  </cdr:relSizeAnchor>
  <cdr:relSizeAnchor xmlns:cdr="http://schemas.openxmlformats.org/drawingml/2006/chartDrawing">
    <cdr:from>
      <cdr:x>0.5625</cdr:x>
      <cdr:y>0.88542</cdr:y>
    </cdr:from>
    <cdr:to>
      <cdr:x>0.83125</cdr:x>
      <cdr:y>0.96875</cdr:y>
    </cdr:to>
    <cdr:sp>
      <cdr:nvSpPr>
        <cdr:cNvPr id="4" name="矩形 3"/>
        <cdr:cNvSpPr/>
      </cdr:nvSpPr>
      <cdr:spPr xmlns:a="http://schemas.openxmlformats.org/drawingml/2006/main">
        <a:xfrm xmlns:a="http://schemas.openxmlformats.org/drawingml/2006/main">
          <a:off x="2571750" y="2428876"/>
          <a:ext cx="1228725" cy="228600"/>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r>
            <a:rPr lang="zh-CN" altLang="en-US" sz="900"/>
            <a:t>（单位：万元）</a:t>
          </a:r>
          <a:endParaRPr lang="zh-CN" altLang="en-US" sz="900"/>
        </a:p>
      </cdr:txBody>
    </cdr:sp>
  </cdr:relSizeAnchor>
</c:userShapes>
</file>

<file path=word/drawings/drawing4.xml><?xml version="1.0" encoding="utf-8"?>
<c:userShapes xmlns:c="http://schemas.openxmlformats.org/drawingml/2006/chart">
  <cdr:relSizeAnchor xmlns:cdr="http://schemas.openxmlformats.org/drawingml/2006/chartDrawing">
    <cdr:from>
      <cdr:x>0.5875</cdr:x>
      <cdr:y>0.86458</cdr:y>
    </cdr:from>
    <cdr:to>
      <cdr:x>0.8625</cdr:x>
      <cdr:y>0.96528</cdr:y>
    </cdr:to>
    <cdr:sp>
      <cdr:nvSpPr>
        <cdr:cNvPr id="2" name="矩形 1"/>
        <cdr:cNvSpPr/>
      </cdr:nvSpPr>
      <cdr:spPr xmlns:a="http://schemas.openxmlformats.org/drawingml/2006/main">
        <a:xfrm xmlns:a="http://schemas.openxmlformats.org/drawingml/2006/main">
          <a:off x="2686050" y="2371725"/>
          <a:ext cx="1257300" cy="276225"/>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pPr marL="0" marR="0" indent="0" defTabSz="914400" eaLnBrk="1" fontAlgn="auto" latinLnBrk="0" hangingPunct="1">
            <a:lnSpc>
              <a:spcPct val="100000"/>
            </a:lnSpc>
            <a:spcBef>
              <a:spcPts val="0"/>
            </a:spcBef>
            <a:spcAft>
              <a:spcPts val="0"/>
            </a:spcAft>
            <a:buClrTx/>
            <a:buSzTx/>
            <a:buFontTx/>
            <a:buNone/>
            <a:defRPr/>
          </a:pPr>
          <a:r>
            <a:rPr lang="zh-CN" altLang="en-US" sz="1100"/>
            <a:t>（</a:t>
          </a:r>
          <a:r>
            <a:rPr lang="zh-CN" altLang="en-US" sz="1000"/>
            <a:t>单位</a:t>
          </a:r>
          <a:r>
            <a:rPr lang="zh-CN" altLang="en-US" sz="1100"/>
            <a:t>：</a:t>
          </a:r>
          <a:r>
            <a:rPr lang="zh-CN" altLang="en-US" sz="900"/>
            <a:t>万元</a:t>
          </a:r>
          <a:r>
            <a:rPr lang="zh-CN" altLang="en-US" sz="1100"/>
            <a:t>）</a:t>
          </a:r>
          <a:endParaRPr lang="zh-CN" altLang="en-US" sz="1100"/>
        </a:p>
        <a:p>
          <a:endParaRPr lang="zh-CN" altLang="en-US" sz="1100"/>
        </a:p>
      </cdr:txBody>
    </cdr:sp>
  </cdr:relSizeAnchor>
  <cdr:relSizeAnchor xmlns:cdr="http://schemas.openxmlformats.org/drawingml/2006/chartDrawing">
    <cdr:from>
      <cdr:x>0.29375</cdr:x>
      <cdr:y>0.86996</cdr:y>
    </cdr:from>
    <cdr:to>
      <cdr:x>0.56875</cdr:x>
      <cdr:y>1</cdr:y>
    </cdr:to>
    <cdr:sp>
      <cdr:nvSpPr>
        <cdr:cNvPr id="3" name="矩形 2"/>
        <cdr:cNvSpPr/>
      </cdr:nvSpPr>
      <cdr:spPr xmlns:a="http://schemas.openxmlformats.org/drawingml/2006/main">
        <a:xfrm xmlns:a="http://schemas.openxmlformats.org/drawingml/2006/main">
          <a:off x="1343025" y="1933575"/>
          <a:ext cx="1257300" cy="276225"/>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r>
            <a:rPr lang="zh-CN" altLang="en-US" sz="1100">
              <a:latin typeface="+mn-lt"/>
              <a:ea typeface="+mn-ea"/>
              <a:cs typeface="+mn-cs"/>
            </a:rPr>
            <a:t>支出决算结构图</a:t>
          </a:r>
          <a:endParaRPr lang="zh-CN" altLang="en-US" sz="1100"/>
        </a:p>
      </cdr:txBody>
    </cdr:sp>
  </cdr:relSizeAnchor>
</c:userShapes>
</file>

<file path=word/drawings/drawing5.xml><?xml version="1.0" encoding="utf-8"?>
<c:userShapes xmlns:c="http://schemas.openxmlformats.org/drawingml/2006/chart">
  <cdr:relSizeAnchor xmlns:cdr="http://schemas.openxmlformats.org/drawingml/2006/chartDrawing">
    <cdr:from>
      <cdr:x>0.50669</cdr:x>
      <cdr:y>0.88542</cdr:y>
    </cdr:from>
    <cdr:to>
      <cdr:x>0.77336</cdr:x>
      <cdr:y>1</cdr:y>
    </cdr:to>
    <cdr:sp>
      <cdr:nvSpPr>
        <cdr:cNvPr id="2" name="矩形 1"/>
        <cdr:cNvSpPr/>
      </cdr:nvSpPr>
      <cdr:spPr xmlns:a="http://schemas.openxmlformats.org/drawingml/2006/main">
        <a:xfrm xmlns:a="http://schemas.openxmlformats.org/drawingml/2006/main">
          <a:off x="2200751" y="2557066"/>
          <a:ext cx="1158240" cy="311050"/>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pPr marL="0" marR="0" indent="0" defTabSz="914400" eaLnBrk="1" fontAlgn="auto" latinLnBrk="0" hangingPunct="1">
            <a:lnSpc>
              <a:spcPct val="100000"/>
            </a:lnSpc>
            <a:spcBef>
              <a:spcPts val="0"/>
            </a:spcBef>
            <a:spcAft>
              <a:spcPts val="0"/>
            </a:spcAft>
            <a:buClrTx/>
            <a:buSzTx/>
            <a:buFontTx/>
            <a:buNone/>
            <a:defRPr/>
          </a:pPr>
          <a:r>
            <a:rPr lang="zh-CN" altLang="en-US" sz="1100"/>
            <a:t>（</a:t>
          </a:r>
          <a:r>
            <a:rPr lang="zh-CN" altLang="en-US" sz="1000"/>
            <a:t>单位</a:t>
          </a:r>
          <a:r>
            <a:rPr lang="zh-CN" altLang="en-US" sz="1100"/>
            <a:t>：</a:t>
          </a:r>
          <a:r>
            <a:rPr lang="zh-CN" altLang="en-US" sz="900"/>
            <a:t>万元</a:t>
          </a:r>
          <a:r>
            <a:rPr lang="zh-CN" altLang="en-US" sz="1100"/>
            <a:t>）</a:t>
          </a:r>
          <a:endParaRPr lang="zh-CN" altLang="en-US" sz="1100"/>
        </a:p>
        <a:p>
          <a:endParaRPr lang="zh-CN" altLang="en-US" sz="1100"/>
        </a:p>
      </cdr:txBody>
    </cdr:sp>
  </cdr:relSizeAnchor>
  <cdr:relSizeAnchor xmlns:cdr="http://schemas.openxmlformats.org/drawingml/2006/chartDrawing">
    <cdr:from>
      <cdr:x>0.17544</cdr:x>
      <cdr:y>0.89474</cdr:y>
    </cdr:from>
    <cdr:to>
      <cdr:x>0.5</cdr:x>
      <cdr:y>1</cdr:y>
    </cdr:to>
    <cdr:sp>
      <cdr:nvSpPr>
        <cdr:cNvPr id="3" name="矩形 2"/>
        <cdr:cNvSpPr/>
      </cdr:nvSpPr>
      <cdr:spPr xmlns:a="http://schemas.openxmlformats.org/drawingml/2006/main">
        <a:xfrm xmlns:a="http://schemas.openxmlformats.org/drawingml/2006/main">
          <a:off x="762000" y="2428875"/>
          <a:ext cx="1409700" cy="285750"/>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r>
            <a:rPr lang="zh-CN" altLang="en-US" sz="1100">
              <a:latin typeface="+mn-lt"/>
              <a:ea typeface="+mn-ea"/>
              <a:cs typeface="+mn-cs"/>
            </a:rPr>
            <a:t>收入决算结构图</a:t>
          </a:r>
          <a:endParaRPr lang="zh-CN" altLang="en-US" sz="1100"/>
        </a:p>
      </cdr:txBody>
    </cdr:sp>
  </cdr:relSizeAnchor>
</c:userShapes>
</file>

<file path=word/drawings/drawing6.xml><?xml version="1.0" encoding="utf-8"?>
<c:userShapes xmlns:c="http://schemas.openxmlformats.org/drawingml/2006/chart">
  <cdr:relSizeAnchor xmlns:cdr="http://schemas.openxmlformats.org/drawingml/2006/chartDrawing">
    <cdr:from>
      <cdr:x>0.47158</cdr:x>
      <cdr:y>0.88417</cdr:y>
    </cdr:from>
    <cdr:to>
      <cdr:x>0.66526</cdr:x>
      <cdr:y>1</cdr:y>
    </cdr:to>
    <cdr:sp>
      <cdr:nvSpPr>
        <cdr:cNvPr id="2" name="矩形 1"/>
        <cdr:cNvSpPr/>
      </cdr:nvSpPr>
      <cdr:spPr xmlns:a="http://schemas.openxmlformats.org/drawingml/2006/main">
        <a:xfrm xmlns:a="http://schemas.openxmlformats.org/drawingml/2006/main">
          <a:off x="2133600" y="2181225"/>
          <a:ext cx="876300" cy="285750"/>
        </a:xfrm>
        <a:prstGeom xmlns:a="http://schemas.openxmlformats.org/drawingml/2006/main" prst="rect">
          <a:avLst/>
        </a:prstGeom>
      </cdr:spPr>
      <cdr:txBody xmlns:a="http://schemas.openxmlformats.org/drawingml/2006/main">
        <a:bodyPr vert="horz" wrap="none" lIns="45720" tIns="45720" rIns="45720" bIns="45720" rtlCol="0" anchor="t" anchorCtr="0">
          <a:normAutofit/>
        </a:bodyPr>
        <a:lstStyle/>
        <a:p>
          <a:r>
            <a:rPr lang="zh-CN" altLang="en-US" sz="1100"/>
            <a:t>（</a:t>
          </a:r>
          <a:r>
            <a:rPr lang="zh-CN" altLang="en-US" sz="1000"/>
            <a:t>单位</a:t>
          </a:r>
          <a:r>
            <a:rPr lang="zh-CN" altLang="en-US" sz="1100"/>
            <a:t>：</a:t>
          </a:r>
          <a:r>
            <a:rPr lang="zh-CN" altLang="en-US" sz="900"/>
            <a:t>万元</a:t>
          </a:r>
          <a:r>
            <a:rPr lang="zh-CN" altLang="en-US" sz="1100"/>
            <a:t>）</a:t>
          </a:r>
          <a:endParaRPr lang="zh-CN" altLang="en-US" sz="1100"/>
        </a:p>
      </cdr:txBody>
    </cdr:sp>
  </cdr:relSizeAnchor>
</c:userShapes>
</file>

<file path=word/drawings/drawing7.xml><?xml version="1.0" encoding="utf-8"?>
<c:userShapes xmlns:c="http://schemas.openxmlformats.org/drawingml/2006/chart">
  <cdr:relSizeAnchor xmlns:cdr="http://schemas.openxmlformats.org/drawingml/2006/chartDrawing">
    <cdr:from>
      <cdr:x>0.64792</cdr:x>
      <cdr:y>0.87153</cdr:y>
    </cdr:from>
    <cdr:to>
      <cdr:x>0.84792</cdr:x>
      <cdr:y>1</cdr:y>
    </cdr:to>
    <cdr:sp>
      <cdr:nvSpPr>
        <cdr:cNvPr id="2" name="矩形 1"/>
        <cdr:cNvSpPr/>
      </cdr:nvSpPr>
      <cdr:spPr xmlns:a="http://schemas.openxmlformats.org/drawingml/2006/main">
        <a:xfrm xmlns:a="http://schemas.openxmlformats.org/drawingml/2006/main">
          <a:off x="2962275" y="2390774"/>
          <a:ext cx="914400" cy="352425"/>
        </a:xfrm>
        <a:prstGeom xmlns:a="http://schemas.openxmlformats.org/drawingml/2006/main" prst="rect">
          <a:avLst/>
        </a:prstGeom>
      </cdr:spPr>
      <cdr:txBody xmlns:a="http://schemas.openxmlformats.org/drawingml/2006/main">
        <a:bodyPr vert="horz" wrap="none" lIns="45720" tIns="45720" rIns="45720" bIns="45720" rtlCol="0" anchor="t" anchorCtr="0">
          <a:normAutofit/>
        </a:bodyPr>
        <a:lstStyle/>
        <a:p>
          <a:endParaRPr lang="zh-CN" altLang="en-US" sz="1100"/>
        </a:p>
      </cdr:txBody>
    </cdr:sp>
  </cdr:relSizeAnchor>
  <cdr:relSizeAnchor xmlns:cdr="http://schemas.openxmlformats.org/drawingml/2006/chartDrawing">
    <cdr:from>
      <cdr:x>0.58958</cdr:x>
      <cdr:y>0.89931</cdr:y>
    </cdr:from>
    <cdr:to>
      <cdr:x>0.83542</cdr:x>
      <cdr:y>0.96528</cdr:y>
    </cdr:to>
    <cdr:sp>
      <cdr:nvSpPr>
        <cdr:cNvPr id="3" name="矩形 2"/>
        <cdr:cNvSpPr/>
      </cdr:nvSpPr>
      <cdr:spPr xmlns:a="http://schemas.openxmlformats.org/drawingml/2006/main">
        <a:xfrm xmlns:a="http://schemas.openxmlformats.org/drawingml/2006/main">
          <a:off x="2695575" y="2466975"/>
          <a:ext cx="1123950" cy="180975"/>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endParaRPr lang="zh-CN" altLang="en-US" sz="1100"/>
        </a:p>
      </cdr:txBody>
    </cdr:sp>
  </cdr:relSizeAnchor>
  <cdr:relSizeAnchor xmlns:cdr="http://schemas.openxmlformats.org/drawingml/2006/chartDrawing">
    <cdr:from>
      <cdr:x>0.5875</cdr:x>
      <cdr:y>0.86458</cdr:y>
    </cdr:from>
    <cdr:to>
      <cdr:x>0.8625</cdr:x>
      <cdr:y>0.96528</cdr:y>
    </cdr:to>
    <cdr:sp>
      <cdr:nvSpPr>
        <cdr:cNvPr id="4" name="矩形 3"/>
        <cdr:cNvSpPr/>
      </cdr:nvSpPr>
      <cdr:spPr xmlns:a="http://schemas.openxmlformats.org/drawingml/2006/main">
        <a:xfrm xmlns:a="http://schemas.openxmlformats.org/drawingml/2006/main">
          <a:off x="2686050" y="2371725"/>
          <a:ext cx="1257300" cy="276225"/>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p>
          <a:pPr marL="0" marR="0" indent="0" defTabSz="914400" eaLnBrk="1" fontAlgn="auto" latinLnBrk="0" hangingPunct="1">
            <a:lnSpc>
              <a:spcPct val="100000"/>
            </a:lnSpc>
            <a:spcBef>
              <a:spcPts val="0"/>
            </a:spcBef>
            <a:spcAft>
              <a:spcPts val="0"/>
            </a:spcAft>
            <a:buClrTx/>
            <a:buSzTx/>
            <a:buFontTx/>
            <a:buNone/>
            <a:defRPr/>
          </a:pPr>
          <a:r>
            <a:rPr lang="zh-CN" altLang="en-US" sz="1100"/>
            <a:t>（</a:t>
          </a:r>
          <a:r>
            <a:rPr lang="zh-CN" altLang="en-US" sz="1000"/>
            <a:t>单位</a:t>
          </a:r>
          <a:r>
            <a:rPr lang="zh-CN" altLang="en-US" sz="1100"/>
            <a:t>：</a:t>
          </a:r>
          <a:r>
            <a:rPr lang="zh-CN" altLang="en-US" sz="900"/>
            <a:t>万元</a:t>
          </a:r>
          <a:r>
            <a:rPr lang="zh-CN" altLang="en-US" sz="1100"/>
            <a:t>）</a:t>
          </a:r>
          <a:endParaRPr lang="zh-CN" altLang="en-US" sz="1100"/>
        </a:p>
        <a:p>
          <a:endParaRPr lang="zh-CN" altLang="en-US" sz="1100"/>
        </a:p>
      </cdr:txBody>
    </cdr:sp>
  </cdr:relSizeAnchor>
</c:userShap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49"/>
    <customShpInfo spid="_x0000_s2050"/>
    <customShpInfo spid="_x0000_s2053"/>
    <customShpInfo spid="_x0000_s2054"/>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126</Pages>
  <Words>14101</Words>
  <Characters>80382</Characters>
  <Lines>669</Lines>
  <Paragraphs>188</Paragraphs>
  <TotalTime>6</TotalTime>
  <ScaleCrop>false</ScaleCrop>
  <LinksUpToDate>false</LinksUpToDate>
  <CharactersWithSpaces>94295</CharactersWithSpaces>
  <Application>WPS Office_11.8.2.12024_F1E327BC-269C-435d-A152-05C5408002CA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2023-10-26T15:40:00Z</dcterms:created>
  <dc:creator>PC</dc:creator>
  <cp:lastModifiedBy>kylin</cp:lastModifiedBy>
  <cp:lastPrinted>2023-10-19T11:53:00Z</cp:lastPrinted>
  <dcterms:modified xsi:type="dcterms:W3CDTF">2023-11-09T11:06:31Z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2052-11.8.2.12024</vt:lpwstr>
  </property>
  <property fmtid="{D5CDD505-2E9C-101B-9397-08002B2CF9AE}" pid="3" name="ICV">
    <vt:lpwstr>F14FEAB9244142E0B61531267EECB74E_12</vt:lpwstr>
  </property>
</Properties>
</file>